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notes.xml" ContentType="application/vnd.openxmlformats-officedocument.wordprocessingml.footnotes+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DF31A15" w14:textId="77777777" w:rsidR="008469AA" w:rsidRDefault="00000000">
      <w:pPr>
        <w:pStyle w:val="Heading1"/>
        <w:spacing w:before="0"/>
        <w:rPr>
          <w:rFonts w:hint="eastAsia"/>
        </w:rPr>
      </w:pPr>
      <w:r>
        <w:lastRenderedPageBreak/>
        <w:t>Chapter 16 — Mixed Proportional Problem Solving — Teacher Guide</w:t>
      </w:r>
    </w:p>
    <w:p w14:paraId="223C7E5C"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05757FB7" w14:textId="77777777">
        <w:tc>
          <w:tcPr>
            <w:tcW w:w="4996" w:type="dxa"/>
          </w:tcPr>
          <w:p w14:paraId="05C8441A" w14:textId="77777777" w:rsidR="008469AA" w:rsidRDefault="00000000">
            <w:pPr>
              <w:pStyle w:val="Compact"/>
            </w:pPr>
            <w:r>
              <w:rPr>
                <w:b/>
                <w:bCs/>
              </w:rPr>
              <w:t>Lesson duration</w:t>
            </w:r>
          </w:p>
        </w:tc>
        <w:tc>
          <w:tcPr>
            <w:tcW w:w="4997" w:type="dxa"/>
          </w:tcPr>
          <w:p w14:paraId="6EE94128" w14:textId="77777777" w:rsidR="008469AA" w:rsidRDefault="00000000">
            <w:pPr>
              <w:pStyle w:val="Compact"/>
            </w:pPr>
            <w:r>
              <w:t>6 lessons, 45–70 minutes each (see pacing table below)</w:t>
            </w:r>
          </w:p>
        </w:tc>
      </w:tr>
      <w:tr w:rsidR="008469AA" w14:paraId="1BE16455" w14:textId="77777777">
        <w:tc>
          <w:tcPr>
            <w:tcW w:w="4996" w:type="dxa"/>
          </w:tcPr>
          <w:p w14:paraId="07B13D6A" w14:textId="77777777" w:rsidR="008469AA" w:rsidRDefault="00000000">
            <w:pPr>
              <w:pStyle w:val="Compact"/>
            </w:pPr>
            <w:r>
              <w:rPr>
                <w:b/>
                <w:bCs/>
              </w:rPr>
              <w:t>Materials</w:t>
            </w:r>
          </w:p>
        </w:tc>
        <w:tc>
          <w:tcPr>
            <w:tcW w:w="4997" w:type="dxa"/>
          </w:tcPr>
          <w:p w14:paraId="358DCC3F" w14:textId="77777777" w:rsidR="008469AA" w:rsidRDefault="00000000">
            <w:pPr>
              <w:pStyle w:val="Compact"/>
            </w:pPr>
            <w:r>
              <w:t>Classification cards, anchor-model cards from Chapters 1–15, part–percent–whole bars, original–change–final bars, ratio tape strips, unit-rate tables, common-unit comparison tables, proportion tables, coordinate grids, scale-direction strips, zero-origin cards, the two chapter diagrams</w:t>
            </w:r>
          </w:p>
        </w:tc>
      </w:tr>
      <w:tr w:rsidR="008469AA" w14:paraId="739986BE" w14:textId="77777777">
        <w:tc>
          <w:tcPr>
            <w:tcW w:w="4996" w:type="dxa"/>
          </w:tcPr>
          <w:p w14:paraId="30D2C362" w14:textId="77777777" w:rsidR="008469AA" w:rsidRDefault="00000000">
            <w:pPr>
              <w:pStyle w:val="Compact"/>
            </w:pPr>
            <w:r>
              <w:rPr>
                <w:b/>
                <w:bCs/>
              </w:rPr>
              <w:t>Launch question</w:t>
            </w:r>
          </w:p>
        </w:tc>
        <w:tc>
          <w:tcPr>
            <w:tcW w:w="4997" w:type="dxa"/>
          </w:tcPr>
          <w:p w14:paraId="209E4A6A" w14:textId="77777777" w:rsidR="008469AA" w:rsidRDefault="00000000">
            <w:pPr>
              <w:pStyle w:val="Compact"/>
            </w:pPr>
            <w:r>
              <w:t xml:space="preserve">“A jacket is 20% off, then taxed. Boys:girls = 3:4, total 28. A map uses 1 cm = 15 km. A taxi has a starting fee. What relationship does each one show — before you calculate anything?”</w:t>
            </w:r>
          </w:p>
        </w:tc>
      </w:tr>
      <w:tr w:rsidR="008469AA" w14:paraId="3C5A0B57" w14:textId="77777777">
        <w:tc>
          <w:tcPr>
            <w:tcW w:w="4996" w:type="dxa"/>
          </w:tcPr>
          <w:p w14:paraId="63D316BD" w14:textId="77777777" w:rsidR="008469AA" w:rsidRDefault="00000000">
            <w:pPr>
              <w:pStyle w:val="Compact"/>
            </w:pPr>
            <w:r>
              <w:rPr>
                <w:b/>
                <w:bCs/>
              </w:rPr>
              <w:t>Key representation</w:t>
            </w:r>
          </w:p>
        </w:tc>
        <w:tc>
          <w:tcPr>
            <w:tcW w:w="4997" w:type="dxa"/>
          </w:tcPr>
          <w:p w14:paraId="341C4A45" w14:textId="77777777" w:rsidR="008469AA" w:rsidRDefault="00000000">
            <w:pPr>
              <w:pStyle w:val="Compact"/>
            </w:pPr>
            <w:r>
              <w:t>The five-step decision routine (name, identify, choose, calculate, check) — keep it visible throughout instruction</w:t>
            </w:r>
          </w:p>
        </w:tc>
      </w:tr>
      <w:tr w:rsidR="008469AA" w14:paraId="0AD135A8" w14:textId="77777777">
        <w:tc>
          <w:tcPr>
            <w:tcW w:w="4996" w:type="dxa"/>
          </w:tcPr>
          <w:p w14:paraId="6571CD03" w14:textId="77777777" w:rsidR="008469AA" w:rsidRDefault="00000000">
            <w:pPr>
              <w:pStyle w:val="Compact"/>
            </w:pPr>
            <w:r>
              <w:rPr>
                <w:b/>
                <w:bCs/>
              </w:rPr>
              <w:t>Anticipated responses</w:t>
            </w:r>
          </w:p>
        </w:tc>
        <w:tc>
          <w:tcPr>
            <w:tcW w:w="4997" w:type="dxa"/>
          </w:tcPr>
          <w:p w14:paraId="59D2E612" w14:textId="77777777" w:rsidR="008469AA" w:rsidRDefault="00000000">
            <w:pPr>
              <w:pStyle w:val="Compact"/>
            </w:pPr>
            <w:r>
              <w:t>Correct: classifies the relationship and names the anchor model before calculating, then checks with a second representation. Partial: solves familiar categories correctly but struggles to classify unfamiliar or mixed contexts. Incorrect: applies a familiar procedure immediately without checking whether it fits the structure.</w:t>
            </w:r>
          </w:p>
        </w:tc>
      </w:tr>
      <w:tr w:rsidR="008469AA" w14:paraId="6353914D" w14:textId="77777777">
        <w:tc>
          <w:tcPr>
            <w:tcW w:w="4996" w:type="dxa"/>
          </w:tcPr>
          <w:p w14:paraId="17041DD7" w14:textId="77777777" w:rsidR="008469AA" w:rsidRDefault="00000000">
            <w:pPr>
              <w:pStyle w:val="Compact"/>
            </w:pPr>
            <w:r>
              <w:rPr>
                <w:b/>
                <w:bCs/>
              </w:rPr>
              <w:t>If the readiness check fails</w:t>
            </w:r>
          </w:p>
        </w:tc>
        <w:tc>
          <w:tcPr>
            <w:tcW w:w="4997" w:type="dxa"/>
          </w:tcPr>
          <w:p w14:paraId="13F9703D" w14:textId="77777777" w:rsidR="008469AA" w:rsidRDefault="00000000">
            <w:pPr>
              <w:pStyle w:val="Compact"/>
            </w:pPr>
            <w:r>
              <w:t xml:space="preserve">Reteach the specific anchor model named in the routing table (percent, ratio, rate, scale, or proportionality) before returning to mixed practice; do </w:t>
              <w:lastRenderedPageBreak/>
              <w:t>not skip the classification-before-calculation step</w:t>
            </w:r>
          </w:p>
        </w:tc>
      </w:tr>
      <w:tr w:rsidR="008469AA" w14:paraId="2193A3F1" w14:textId="77777777">
        <w:tc>
          <w:tcPr>
            <w:tcW w:w="4996" w:type="dxa"/>
          </w:tcPr>
          <w:p w14:paraId="17FA1935" w14:textId="77777777" w:rsidR="008469AA" w:rsidRDefault="00000000">
            <w:pPr>
              <w:pStyle w:val="Compact"/>
            </w:pPr>
            <w:r>
              <w:rPr>
                <w:b/>
                <w:bCs/>
              </w:rPr>
              <w:lastRenderedPageBreak/>
              <w:t>Talk prompt</w:t>
            </w:r>
          </w:p>
        </w:tc>
        <w:tc>
          <w:tcPr>
            <w:tcW w:w="4997" w:type="dxa"/>
          </w:tcPr>
          <w:p w14:paraId="70A5BEBF" w14:textId="77777777" w:rsidR="008469AA" w:rsidRDefault="00000000">
            <w:pPr>
              <w:pStyle w:val="Compact"/>
            </w:pPr>
            <w:r>
              <w:t>“What relationship do the quantities show, and which anchor model makes that visible?”</w:t>
            </w:r>
          </w:p>
        </w:tc>
      </w:tr>
      <w:tr w:rsidR="008469AA" w14:paraId="0C99F4FC" w14:textId="77777777">
        <w:tc>
          <w:tcPr>
            <w:tcW w:w="4996" w:type="dxa"/>
          </w:tcPr>
          <w:p w14:paraId="38052673" w14:textId="77777777" w:rsidR="008469AA" w:rsidRDefault="00000000">
            <w:pPr>
              <w:pStyle w:val="Compact"/>
            </w:pPr>
            <w:r>
              <w:rPr>
                <w:b/>
                <w:bCs/>
              </w:rPr>
              <w:t>Exit ticket</w:t>
            </w:r>
          </w:p>
        </w:tc>
        <w:tc>
          <w:tcPr>
            <w:tcW w:w="4997" w:type="dxa"/>
          </w:tcPr>
          <w:p w14:paraId="38A0D1B6" w14:textId="77777777" w:rsidR="008469AA" w:rsidRDefault="00000000">
            <w:pPr>
              <w:pStyle w:val="Compact"/>
            </w:pPr>
            <w:r>
              <w:t>7 items spanning percent, ratio, rate, scale, proportionality, and non-proportionality — each requires naming the model before solving (see Section 14)</w:t>
            </w:r>
          </w:p>
        </w:tc>
      </w:tr>
      <w:tr w:rsidR="008469AA" w14:paraId="79D9A37F" w14:textId="77777777">
        <w:tc>
          <w:tcPr>
            <w:tcW w:w="4996" w:type="dxa"/>
          </w:tcPr>
          <w:p w14:paraId="09580E10" w14:textId="77777777" w:rsidR="008469AA" w:rsidRDefault="00000000">
            <w:pPr>
              <w:pStyle w:val="Compact"/>
            </w:pPr>
            <w:r>
              <w:rPr>
                <w:b/>
                <w:bCs/>
              </w:rPr>
              <w:t>Reteach / extend</w:t>
            </w:r>
          </w:p>
        </w:tc>
        <w:tc>
          <w:tcPr>
            <w:tcW w:w="4997" w:type="dxa"/>
          </w:tcPr>
          <w:p w14:paraId="12203D3A" w14:textId="77777777" w:rsidR="008469AA" w:rsidRDefault="00000000">
            <w:pPr>
              <w:pStyle w:val="Compact"/>
            </w:pPr>
            <w:r>
              <w:t>Reteach: single-category problems with explicit labels, one anchor model at a time. Extend: problems combining two structures in sequence, and problems where the same numbers admit multiple valid interpretations.</w:t>
            </w:r>
            <w:bookmarkStart w:id="979" w:name="chapter-at-a-glance_Copy_15"/>
            <w:bookmarkEnd w:id="979"/>
          </w:p>
        </w:tc>
      </w:tr>
    </w:tbl>
    <w:p w14:paraId="2D623FA4" w14:textId="77777777" w:rsidR="008469AA" w:rsidRDefault="00000000">
      <w:pPr>
        <w:pStyle w:val="Heading2"/>
        <w:rPr>
          <w:rFonts w:hint="eastAsia"/>
        </w:rPr>
      </w:pPr>
      <w:r>
        <w:t>Purpose and pacing</w:t>
      </w:r>
    </w:p>
    <w:p w14:paraId="2D303DD6" w14:textId="77777777" w:rsidR="008469AA" w:rsidRDefault="00000000">
      <w:r>
        <w:t>Chapter 16 is the capstone of the proportional reasoning sequence. It should not be taught as another list of procedures. It should be taught as a decision-making routine in which students classify, model, solve, and check.</w:t>
      </w:r>
    </w:p>
    <w:tbl>
      <w:tblPr>
        <w:tblStyle w:val="Table"/>
        <w:tblW w:w="5000" w:type="pct"/>
        <w:tblLayout w:type="fixed"/>
        <w:tblLook w:val="0020" w:firstRow="1" w:lastRow="0" w:firstColumn="0" w:lastColumn="0" w:noHBand="0" w:noVBand="0"/>
      </w:tblPr>
      <w:tblGrid>
        <w:gridCol w:w="2431"/>
        <w:gridCol w:w="2432"/>
        <w:gridCol w:w="3227"/>
      </w:tblGrid>
      <w:tr w:rsidR="008469AA" w14:paraId="54305F8B" w14:textId="77777777">
        <w:trPr>
          <w:tblHeader/>
        </w:trPr>
        <w:tc>
          <w:tcPr>
            <w:tcW w:w="2998" w:type="dxa"/>
            <w:shd w:val="clear" w:color="auto" w:fill="E8EEF7"/>
          </w:tcPr>
          <w:p w14:paraId="2EC10A9E" w14:textId="77777777" w:rsidR="008469AA" w:rsidRDefault="00000000">
            <w:pPr>
              <w:pStyle w:val="Compact"/>
            </w:pPr>
            <w:r>
              <w:t>Lesson</w:t>
            </w:r>
          </w:p>
        </w:tc>
        <w:tc>
          <w:tcPr>
            <w:tcW w:w="2998" w:type="dxa"/>
            <w:shd w:val="clear" w:color="auto" w:fill="E8EEF7"/>
          </w:tcPr>
          <w:p w14:paraId="3EC11B00" w14:textId="77777777" w:rsidR="008469AA" w:rsidRDefault="00000000">
            <w:pPr>
              <w:pStyle w:val="Compact"/>
            </w:pPr>
            <w:r>
              <w:t>Focus</w:t>
            </w:r>
          </w:p>
        </w:tc>
        <w:tc>
          <w:tcPr>
            <w:tcW w:w="3998" w:type="dxa"/>
            <w:shd w:val="clear" w:color="auto" w:fill="E8EEF7"/>
          </w:tcPr>
          <w:p w14:paraId="1135B368" w14:textId="77777777" w:rsidR="008469AA" w:rsidRDefault="00000000">
            <w:pPr>
              <w:pStyle w:val="Compact"/>
              <w:jc w:val="right"/>
            </w:pPr>
            <w:r>
              <w:t>Suggested time</w:t>
            </w:r>
          </w:p>
        </w:tc>
      </w:tr>
      <w:tr w:rsidR="008469AA" w14:paraId="6D7C01DA" w14:textId="77777777">
        <w:tc>
          <w:tcPr>
            <w:tcW w:w="2998" w:type="dxa"/>
          </w:tcPr>
          <w:p w14:paraId="5ECE2B44" w14:textId="77777777" w:rsidR="008469AA" w:rsidRDefault="00000000">
            <w:pPr>
              <w:pStyle w:val="Compact"/>
            </w:pPr>
            <w:r>
              <w:t>Lesson 1</w:t>
            </w:r>
          </w:p>
        </w:tc>
        <w:tc>
          <w:tcPr>
            <w:tcW w:w="2998" w:type="dxa"/>
          </w:tcPr>
          <w:p w14:paraId="265EAC64" w14:textId="77777777" w:rsidR="008469AA" w:rsidRDefault="00000000">
            <w:pPr>
              <w:pStyle w:val="Compact"/>
            </w:pPr>
            <w:r>
              <w:t>Readiness and classification stations</w:t>
            </w:r>
          </w:p>
        </w:tc>
        <w:tc>
          <w:tcPr>
            <w:tcW w:w="3998" w:type="dxa"/>
          </w:tcPr>
          <w:p w14:paraId="19084642" w14:textId="77777777" w:rsidR="008469AA" w:rsidRDefault="00000000">
            <w:pPr>
              <w:pStyle w:val="Compact"/>
              <w:jc w:val="right"/>
            </w:pPr>
            <w:r>
              <w:t>50–65 minutes</w:t>
            </w:r>
          </w:p>
        </w:tc>
      </w:tr>
      <w:tr w:rsidR="008469AA" w14:paraId="731E0CB0" w14:textId="77777777">
        <w:tc>
          <w:tcPr>
            <w:tcW w:w="2998" w:type="dxa"/>
          </w:tcPr>
          <w:p w14:paraId="49600B05" w14:textId="77777777" w:rsidR="008469AA" w:rsidRDefault="00000000">
            <w:pPr>
              <w:pStyle w:val="Compact"/>
            </w:pPr>
            <w:r>
              <w:t>Lesson 2</w:t>
            </w:r>
          </w:p>
        </w:tc>
        <w:tc>
          <w:tcPr>
            <w:tcW w:w="2998" w:type="dxa"/>
          </w:tcPr>
          <w:p w14:paraId="04939E34" w14:textId="77777777" w:rsidR="008469AA" w:rsidRDefault="00000000">
            <w:pPr>
              <w:pStyle w:val="Compact"/>
            </w:pPr>
            <w:r>
              <w:t>Percent, ratio, rate, and best-buy mixed problems</w:t>
            </w:r>
          </w:p>
        </w:tc>
        <w:tc>
          <w:tcPr>
            <w:tcW w:w="3998" w:type="dxa"/>
          </w:tcPr>
          <w:p w14:paraId="2E28ED22" w14:textId="77777777" w:rsidR="008469AA" w:rsidRDefault="00000000">
            <w:pPr>
              <w:pStyle w:val="Compact"/>
              <w:jc w:val="right"/>
            </w:pPr>
            <w:r>
              <w:t>55–70 minutes</w:t>
            </w:r>
          </w:p>
        </w:tc>
      </w:tr>
      <w:tr w:rsidR="008469AA" w14:paraId="4D8CFC15" w14:textId="77777777">
        <w:tc>
          <w:tcPr>
            <w:tcW w:w="2998" w:type="dxa"/>
          </w:tcPr>
          <w:p w14:paraId="62D9A5E2" w14:textId="77777777" w:rsidR="008469AA" w:rsidRDefault="00000000">
            <w:pPr>
              <w:pStyle w:val="Compact"/>
            </w:pPr>
            <w:r>
              <w:t>Lesson 3</w:t>
            </w:r>
          </w:p>
        </w:tc>
        <w:tc>
          <w:tcPr>
            <w:tcW w:w="2998" w:type="dxa"/>
          </w:tcPr>
          <w:p w14:paraId="52BDC929" w14:textId="77777777" w:rsidR="008469AA" w:rsidRDefault="00000000">
            <w:pPr>
              <w:pStyle w:val="Compact"/>
            </w:pPr>
            <w:r>
              <w:t>Proportions, graphs, equations, and scale mixed problems</w:t>
            </w:r>
          </w:p>
        </w:tc>
        <w:tc>
          <w:tcPr>
            <w:tcW w:w="3998" w:type="dxa"/>
          </w:tcPr>
          <w:p w14:paraId="55DAFF9D" w14:textId="77777777" w:rsidR="008469AA" w:rsidRDefault="00000000">
            <w:pPr>
              <w:pStyle w:val="Compact"/>
              <w:jc w:val="right"/>
            </w:pPr>
            <w:r>
              <w:t>55–70 minutes</w:t>
            </w:r>
          </w:p>
        </w:tc>
      </w:tr>
      <w:tr w:rsidR="008469AA" w14:paraId="67AC1A32" w14:textId="77777777">
        <w:tc>
          <w:tcPr>
            <w:tcW w:w="2998" w:type="dxa"/>
          </w:tcPr>
          <w:p w14:paraId="34AF877F" w14:textId="77777777" w:rsidR="008469AA" w:rsidRDefault="00000000">
            <w:pPr>
              <w:pStyle w:val="Compact"/>
            </w:pPr>
            <w:r>
              <w:t>Lesson 4</w:t>
            </w:r>
          </w:p>
        </w:tc>
        <w:tc>
          <w:tcPr>
            <w:tcW w:w="2998" w:type="dxa"/>
          </w:tcPr>
          <w:p w14:paraId="4CEDF31F" w14:textId="77777777" w:rsidR="008469AA" w:rsidRDefault="00000000">
            <w:pPr>
              <w:pStyle w:val="Compact"/>
            </w:pPr>
            <w:r>
              <w:t>Non-proportional relationships and misconception repair</w:t>
            </w:r>
          </w:p>
        </w:tc>
        <w:tc>
          <w:tcPr>
            <w:tcW w:w="3998" w:type="dxa"/>
          </w:tcPr>
          <w:p w14:paraId="5F94B9E3" w14:textId="77777777" w:rsidR="008469AA" w:rsidRDefault="00000000">
            <w:pPr>
              <w:pStyle w:val="Compact"/>
              <w:jc w:val="right"/>
            </w:pPr>
            <w:r>
              <w:t>45–60 minutes</w:t>
            </w:r>
          </w:p>
        </w:tc>
      </w:tr>
      <w:tr w:rsidR="008469AA" w14:paraId="4221D953" w14:textId="77777777">
        <w:tc>
          <w:tcPr>
            <w:tcW w:w="2998" w:type="dxa"/>
          </w:tcPr>
          <w:p w14:paraId="5075DD1C" w14:textId="77777777" w:rsidR="008469AA" w:rsidRDefault="00000000">
            <w:pPr>
              <w:pStyle w:val="Compact"/>
            </w:pPr>
            <w:r>
              <w:t>Lesson 5</w:t>
            </w:r>
          </w:p>
        </w:tc>
        <w:tc>
          <w:tcPr>
            <w:tcW w:w="2998" w:type="dxa"/>
          </w:tcPr>
          <w:p w14:paraId="54B0590E" w14:textId="77777777" w:rsidR="008469AA" w:rsidRDefault="00000000">
            <w:pPr>
              <w:pStyle w:val="Compact"/>
            </w:pPr>
            <w:r>
              <w:t>Tripwire, Exit Ticket, and individual routing</w:t>
            </w:r>
          </w:p>
        </w:tc>
        <w:tc>
          <w:tcPr>
            <w:tcW w:w="3998" w:type="dxa"/>
          </w:tcPr>
          <w:p w14:paraId="0C555EC8" w14:textId="77777777" w:rsidR="008469AA" w:rsidRDefault="00000000">
            <w:pPr>
              <w:pStyle w:val="Compact"/>
              <w:jc w:val="right"/>
            </w:pPr>
            <w:r>
              <w:t>50–65 minutes</w:t>
            </w:r>
          </w:p>
        </w:tc>
      </w:tr>
      <w:tr w:rsidR="008469AA" w14:paraId="3B0D4DE1" w14:textId="77777777">
        <w:tc>
          <w:tcPr>
            <w:tcW w:w="2998" w:type="dxa"/>
          </w:tcPr>
          <w:p w14:paraId="279B279C" w14:textId="77777777" w:rsidR="008469AA" w:rsidRDefault="00000000">
            <w:pPr>
              <w:pStyle w:val="Compact"/>
            </w:pPr>
            <w:r>
              <w:t>Lesson 6</w:t>
            </w:r>
          </w:p>
        </w:tc>
        <w:tc>
          <w:tcPr>
            <w:tcW w:w="2998" w:type="dxa"/>
          </w:tcPr>
          <w:p w14:paraId="064B5914" w14:textId="77777777" w:rsidR="008469AA" w:rsidRDefault="00000000">
            <w:pPr>
              <w:pStyle w:val="Compact"/>
            </w:pPr>
            <w:r>
              <w:t xml:space="preserve">Preparation for cumulative review </w:t>
              <w:lastRenderedPageBreak/>
              <w:t>and final mastery assessment</w:t>
            </w:r>
          </w:p>
        </w:tc>
        <w:tc>
          <w:tcPr>
            <w:tcW w:w="3998" w:type="dxa"/>
          </w:tcPr>
          <w:p w14:paraId="13A4F9BC" w14:textId="77777777" w:rsidR="008469AA" w:rsidRDefault="00000000">
            <w:pPr>
              <w:pStyle w:val="Compact"/>
              <w:jc w:val="right"/>
            </w:pPr>
            <w:r>
              <w:lastRenderedPageBreak/>
              <w:t>45–60 minutes</w:t>
            </w:r>
          </w:p>
        </w:tc>
      </w:tr>
    </w:tbl>
    <w:p w14:paraId="08718D81" w14:textId="77777777" w:rsidR="008469AA" w:rsidRDefault="00000000">
      <w:pPr>
        <w:pStyle w:val="Heading2"/>
        <w:rPr>
          <w:rFonts w:hint="eastAsia"/>
        </w:rPr>
      </w:pPr>
      <w:r>
        <w:t>Materials</w:t>
      </w:r>
    </w:p>
    <w:p w14:paraId="074E3C66" w14:textId="77777777" w:rsidR="008469AA" w:rsidRDefault="00000000">
      <w:r>
        <w:t>Prepare classification cards, anchor-model cards from Chapters 1–15, part–percent–whole bars, original–change–final bars, ratio tape strips, unit-rate tables, common-unit comparison tables, proportion tables, coordinate grids, scale-direction strips, and zero-origin cards.</w:t>
      </w:r>
    </w:p>
    <w:p w14:paraId="5F6FC0D0" w14:textId="77777777" w:rsidR="008469AA" w:rsidRDefault="00000000">
      <w:pPr>
        <w:pStyle w:val="Heading2"/>
        <w:rPr>
          <w:rFonts w:hint="eastAsia"/>
        </w:rPr>
      </w:pPr>
      <w:r>
        <w:t>Teacher launch guidance</w:t>
      </w:r>
    </w:p>
    <w:p w14:paraId="5D44C866" w14:textId="77777777" w:rsidR="008469AA" w:rsidRDefault="00000000">
      <w:r>
        <w:t>Present the four Tripwire problems without allowing immediate calculation. The important first response is the classification sentence. Ask students to defend why the problem belongs to a category and which representation would make the structure visible.</w:t>
      </w:r>
    </w:p>
    <w:p w14:paraId="32C8CCEB" w14:textId="77777777" w:rsidR="008469AA" w:rsidRDefault="00000000">
      <w:pPr>
        <w:pStyle w:val="BodyText"/>
      </w:pPr>
      <w:r>
        <w:t>During mixed work, require students to write a “meaning line” before an equation. For example: “This is a part-to-whole percent problem; 72 is the part and the school population is the whole.” This slows procedural guessing and gives the teacher evidence about the student’s interpretation.</w:t>
      </w:r>
    </w:p>
    <w:p w14:paraId="5C6A215F" w14:textId="77777777" w:rsidR="008469AA" w:rsidRDefault="00000000">
      <w:pPr>
        <w:pStyle w:val="BodyText"/>
      </w:pPr>
      <w:bookmarkStart w:id="980" w:name="teacher-launch-guidance_Copy_13_1671"/>
      <w:r>
        <w:t>Use paired comparisons between related but non-identical problems. A discount followed by tax changes the base. A ratio of boys to girls is not the same as a ratio of boys to the total. A best-buy problem requires a common unit. A starting fee breaks direct proportionality.</w:t>
      </w:r>
      <w:bookmarkEnd w:id="980"/>
    </w:p>
    <w:p w14:paraId="6E8F16B8" w14:textId="77777777" w:rsidR="008469AA" w:rsidRDefault="00000000">
      <w:pPr>
        <w:pStyle w:val="Heading2"/>
        <w:rPr>
          <w:rFonts w:hint="eastAsia"/>
        </w:rPr>
      </w:pPr>
      <w:r>
        <w:t>Classification protocol</w:t>
      </w:r>
    </w:p>
    <w:p w14:paraId="02678F8D" w14:textId="77777777" w:rsidR="008469AA" w:rsidRDefault="00000000">
      <w:r>
        <w:t>At the beginning of each problem, students complete the following table:</w:t>
      </w:r>
    </w:p>
    <w:tbl>
      <w:tblPr>
        <w:tblStyle w:val="Table"/>
        <w:tblW w:w="5000" w:type="pct"/>
        <w:tblLayout w:type="fixed"/>
        <w:tblLook w:val="0020" w:firstRow="1" w:lastRow="0" w:firstColumn="0" w:lastColumn="0" w:noHBand="0" w:noVBand="0"/>
      </w:tblPr>
      <w:tblGrid>
        <w:gridCol w:w="4045"/>
        <w:gridCol w:w="4045"/>
      </w:tblGrid>
      <w:tr w:rsidR="008469AA" w14:paraId="14B8ADAD" w14:textId="77777777">
        <w:trPr>
          <w:tblHeader/>
        </w:trPr>
        <w:tc>
          <w:tcPr>
            <w:tcW w:w="4996" w:type="dxa"/>
            <w:shd w:val="clear" w:color="auto" w:fill="E8EEF7"/>
          </w:tcPr>
          <w:p w14:paraId="59FACDB1" w14:textId="77777777" w:rsidR="008469AA" w:rsidRDefault="00000000">
            <w:pPr>
              <w:pStyle w:val="Compact"/>
            </w:pPr>
            <w:r>
              <w:t>Prompt</w:t>
            </w:r>
          </w:p>
        </w:tc>
        <w:tc>
          <w:tcPr>
            <w:tcW w:w="4997" w:type="dxa"/>
            <w:shd w:val="clear" w:color="auto" w:fill="E8EEF7"/>
          </w:tcPr>
          <w:p w14:paraId="05B1E55C" w14:textId="77777777" w:rsidR="008469AA" w:rsidRDefault="00000000">
            <w:pPr>
              <w:pStyle w:val="Compact"/>
            </w:pPr>
            <w:r>
              <w:t>Student response</w:t>
            </w:r>
          </w:p>
        </w:tc>
      </w:tr>
      <w:tr w:rsidR="008469AA" w14:paraId="1851607D" w14:textId="77777777">
        <w:tc>
          <w:tcPr>
            <w:tcW w:w="4996" w:type="dxa"/>
          </w:tcPr>
          <w:p w14:paraId="0BEB829E" w14:textId="77777777" w:rsidR="008469AA" w:rsidRDefault="00000000">
            <w:pPr>
              <w:pStyle w:val="Compact"/>
            </w:pPr>
            <w:r>
              <w:t>What quantities are present?</w:t>
            </w:r>
          </w:p>
        </w:tc>
        <w:tc>
          <w:tcPr>
            <w:tcW w:w="4997" w:type="dxa"/>
          </w:tcPr>
          <w:p w14:paraId="64FEA6C9" w14:textId="77777777" w:rsidR="008469AA" w:rsidRDefault="00000000">
            <w:pPr>
              <w:pStyle w:val="Compact"/>
            </w:pPr>
            <w:r>
              <w:t>______________________________</w:t>
            </w:r>
          </w:p>
        </w:tc>
      </w:tr>
      <w:tr w:rsidR="008469AA" w14:paraId="6E66A33E" w14:textId="77777777">
        <w:tc>
          <w:tcPr>
            <w:tcW w:w="4996" w:type="dxa"/>
          </w:tcPr>
          <w:p w14:paraId="04EF4B5E" w14:textId="77777777" w:rsidR="008469AA" w:rsidRDefault="00000000">
            <w:pPr>
              <w:pStyle w:val="Compact"/>
            </w:pPr>
            <w:r>
              <w:t>What does each number measure?</w:t>
            </w:r>
          </w:p>
        </w:tc>
        <w:tc>
          <w:tcPr>
            <w:tcW w:w="4997" w:type="dxa"/>
          </w:tcPr>
          <w:p w14:paraId="6B2B1236" w14:textId="77777777" w:rsidR="008469AA" w:rsidRDefault="00000000">
            <w:pPr>
              <w:pStyle w:val="Compact"/>
            </w:pPr>
            <w:r>
              <w:t>______________________________</w:t>
            </w:r>
          </w:p>
        </w:tc>
      </w:tr>
      <w:tr w:rsidR="008469AA" w14:paraId="235D4880" w14:textId="77777777">
        <w:tc>
          <w:tcPr>
            <w:tcW w:w="4996" w:type="dxa"/>
          </w:tcPr>
          <w:p w14:paraId="72916480" w14:textId="77777777" w:rsidR="008469AA" w:rsidRDefault="00000000">
            <w:pPr>
              <w:pStyle w:val="Compact"/>
            </w:pPr>
            <w:r>
              <w:t>What is the whole or base?</w:t>
            </w:r>
          </w:p>
        </w:tc>
        <w:tc>
          <w:tcPr>
            <w:tcW w:w="4997" w:type="dxa"/>
          </w:tcPr>
          <w:p w14:paraId="4EC980C1" w14:textId="77777777" w:rsidR="008469AA" w:rsidRDefault="00000000">
            <w:pPr>
              <w:pStyle w:val="Compact"/>
            </w:pPr>
            <w:r>
              <w:t>______________________________</w:t>
            </w:r>
          </w:p>
        </w:tc>
      </w:tr>
      <w:tr w:rsidR="008469AA" w14:paraId="6DE4E042" w14:textId="77777777">
        <w:tc>
          <w:tcPr>
            <w:tcW w:w="4996" w:type="dxa"/>
          </w:tcPr>
          <w:p w14:paraId="4CB32EEA" w14:textId="77777777" w:rsidR="008469AA" w:rsidRDefault="00000000">
            <w:pPr>
              <w:pStyle w:val="Compact"/>
            </w:pPr>
            <w:r>
              <w:t>What relationship type is present?</w:t>
            </w:r>
          </w:p>
        </w:tc>
        <w:tc>
          <w:tcPr>
            <w:tcW w:w="4997" w:type="dxa"/>
          </w:tcPr>
          <w:p w14:paraId="111BADBD" w14:textId="77777777" w:rsidR="008469AA" w:rsidRDefault="00000000">
            <w:pPr>
              <w:pStyle w:val="Compact"/>
            </w:pPr>
            <w:r>
              <w:t>______________________________</w:t>
            </w:r>
          </w:p>
        </w:tc>
      </w:tr>
      <w:tr w:rsidR="008469AA" w14:paraId="094D8233" w14:textId="77777777">
        <w:tc>
          <w:tcPr>
            <w:tcW w:w="4996" w:type="dxa"/>
          </w:tcPr>
          <w:p w14:paraId="007C3173" w14:textId="77777777" w:rsidR="008469AA" w:rsidRDefault="00000000">
            <w:pPr>
              <w:pStyle w:val="Compact"/>
            </w:pPr>
            <w:r>
              <w:t>Which anchor model fits?</w:t>
            </w:r>
          </w:p>
        </w:tc>
        <w:tc>
          <w:tcPr>
            <w:tcW w:w="4997" w:type="dxa"/>
          </w:tcPr>
          <w:p w14:paraId="3781CACA" w14:textId="77777777" w:rsidR="008469AA" w:rsidRDefault="00000000">
            <w:pPr>
              <w:pStyle w:val="Compact"/>
            </w:pPr>
            <w:r>
              <w:t>______________________________</w:t>
            </w:r>
          </w:p>
        </w:tc>
      </w:tr>
      <w:tr w:rsidR="008469AA" w14:paraId="5295A5B2" w14:textId="77777777">
        <w:tc>
          <w:tcPr>
            <w:tcW w:w="4996" w:type="dxa"/>
          </w:tcPr>
          <w:p w14:paraId="7D88A329" w14:textId="77777777" w:rsidR="008469AA" w:rsidRDefault="00000000">
            <w:pPr>
              <w:pStyle w:val="Compact"/>
            </w:pPr>
            <w:r>
              <w:t>What units should the answer have?</w:t>
            </w:r>
          </w:p>
        </w:tc>
        <w:tc>
          <w:tcPr>
            <w:tcW w:w="4997" w:type="dxa"/>
          </w:tcPr>
          <w:p w14:paraId="7DE8446B" w14:textId="77777777" w:rsidR="008469AA" w:rsidRDefault="00000000">
            <w:pPr>
              <w:pStyle w:val="Compact"/>
            </w:pPr>
            <w:r>
              <w:t>______________________________</w:t>
            </w:r>
          </w:p>
        </w:tc>
      </w:tr>
      <w:tr w:rsidR="008469AA" w14:paraId="12BE6F9A" w14:textId="77777777">
        <w:tc>
          <w:tcPr>
            <w:tcW w:w="4996" w:type="dxa"/>
          </w:tcPr>
          <w:p w14:paraId="52027BFF" w14:textId="77777777" w:rsidR="008469AA" w:rsidRDefault="00000000">
            <w:pPr>
              <w:pStyle w:val="Compact"/>
            </w:pPr>
            <w:r>
              <w:t>How will I check?</w:t>
            </w:r>
          </w:p>
        </w:tc>
        <w:tc>
          <w:tcPr>
            <w:tcW w:w="4997" w:type="dxa"/>
          </w:tcPr>
          <w:p w14:paraId="445BD9C7" w14:textId="77777777" w:rsidR="008469AA" w:rsidRDefault="00000000">
            <w:pPr>
              <w:pStyle w:val="Compact"/>
            </w:pPr>
            <w:r>
              <w:t>______________________________</w:t>
            </w:r>
            <w:bookmarkStart w:id="981" w:name="classification-protocol"/>
            <w:bookmarkEnd w:id="981"/>
          </w:p>
        </w:tc>
      </w:tr>
    </w:tbl>
    <w:p w14:paraId="2ECC2549" w14:textId="77777777" w:rsidR="008469AA" w:rsidRDefault="00000000">
      <w:pPr>
        <w:pStyle w:val="Heading2"/>
        <w:rPr>
          <w:rFonts w:hint="eastAsia"/>
        </w:rPr>
      </w:pPr>
      <w:r>
        <w:t>Teacher prompts</w:t>
      </w:r>
    </w:p>
    <w:tbl>
      <w:tblPr>
        <w:tblStyle w:val="Table"/>
        <w:tblW w:w="5000" w:type="pct"/>
        <w:tblLayout w:type="fixed"/>
        <w:tblLook w:val="0020" w:firstRow="1" w:lastRow="0" w:firstColumn="0" w:lastColumn="0" w:noHBand="0" w:noVBand="0"/>
      </w:tblPr>
      <w:tblGrid>
        <w:gridCol w:w="4045"/>
        <w:gridCol w:w="4045"/>
      </w:tblGrid>
      <w:tr w:rsidR="008469AA" w14:paraId="6A0B8D1C" w14:textId="77777777">
        <w:trPr>
          <w:tblHeader/>
        </w:trPr>
        <w:tc>
          <w:tcPr>
            <w:tcW w:w="4996" w:type="dxa"/>
            <w:shd w:val="clear" w:color="auto" w:fill="E8EEF7"/>
          </w:tcPr>
          <w:p w14:paraId="68BF4027" w14:textId="77777777" w:rsidR="008469AA" w:rsidRDefault="00000000">
            <w:pPr>
              <w:pStyle w:val="Compact"/>
            </w:pPr>
            <w:r>
              <w:lastRenderedPageBreak/>
              <w:t>Purpose</w:t>
            </w:r>
          </w:p>
        </w:tc>
        <w:tc>
          <w:tcPr>
            <w:tcW w:w="4997" w:type="dxa"/>
            <w:shd w:val="clear" w:color="auto" w:fill="E8EEF7"/>
          </w:tcPr>
          <w:p w14:paraId="0C0D01D2" w14:textId="77777777" w:rsidR="008469AA" w:rsidRDefault="00000000">
            <w:pPr>
              <w:pStyle w:val="Compact"/>
            </w:pPr>
            <w:r>
              <w:t>Prompt</w:t>
            </w:r>
          </w:p>
        </w:tc>
      </w:tr>
      <w:tr w:rsidR="008469AA" w14:paraId="14163331" w14:textId="77777777">
        <w:tc>
          <w:tcPr>
            <w:tcW w:w="4996" w:type="dxa"/>
          </w:tcPr>
          <w:p w14:paraId="5831515F" w14:textId="77777777" w:rsidR="008469AA" w:rsidRDefault="00000000">
            <w:pPr>
              <w:pStyle w:val="Compact"/>
            </w:pPr>
            <w:r>
              <w:t>Classify</w:t>
            </w:r>
          </w:p>
        </w:tc>
        <w:tc>
          <w:tcPr>
            <w:tcW w:w="4997" w:type="dxa"/>
          </w:tcPr>
          <w:p w14:paraId="770BA06B" w14:textId="77777777" w:rsidR="008469AA" w:rsidRDefault="00000000">
            <w:pPr>
              <w:pStyle w:val="Compact"/>
            </w:pPr>
            <w:r>
              <w:t>“What kind of relationship do the quantities describe?”</w:t>
            </w:r>
          </w:p>
        </w:tc>
      </w:tr>
      <w:tr w:rsidR="008469AA" w14:paraId="069A2C59" w14:textId="77777777">
        <w:tc>
          <w:tcPr>
            <w:tcW w:w="4996" w:type="dxa"/>
          </w:tcPr>
          <w:p w14:paraId="32B69E1E" w14:textId="77777777" w:rsidR="008469AA" w:rsidRDefault="00000000">
            <w:pPr>
              <w:pStyle w:val="Compact"/>
            </w:pPr>
            <w:r>
              <w:t>Choose a model</w:t>
            </w:r>
          </w:p>
        </w:tc>
        <w:tc>
          <w:tcPr>
            <w:tcW w:w="4997" w:type="dxa"/>
          </w:tcPr>
          <w:p w14:paraId="22DCAB09" w14:textId="77777777" w:rsidR="008469AA" w:rsidRDefault="00000000">
            <w:pPr>
              <w:pStyle w:val="Compact"/>
            </w:pPr>
            <w:r>
              <w:t>“Which picture would make the structure visible?”</w:t>
            </w:r>
          </w:p>
        </w:tc>
      </w:tr>
      <w:tr w:rsidR="008469AA" w14:paraId="062CCFF5" w14:textId="77777777">
        <w:tc>
          <w:tcPr>
            <w:tcW w:w="4996" w:type="dxa"/>
          </w:tcPr>
          <w:p w14:paraId="63A40F06" w14:textId="77777777" w:rsidR="008469AA" w:rsidRDefault="00000000">
            <w:pPr>
              <w:pStyle w:val="Compact"/>
            </w:pPr>
            <w:r>
              <w:t>Identify a base</w:t>
            </w:r>
          </w:p>
        </w:tc>
        <w:tc>
          <w:tcPr>
            <w:tcW w:w="4997" w:type="dxa"/>
          </w:tcPr>
          <w:p w14:paraId="27E137F7" w14:textId="77777777" w:rsidR="008469AA" w:rsidRDefault="00000000">
            <w:pPr>
              <w:pStyle w:val="Compact"/>
            </w:pPr>
            <w:r>
              <w:t>“What amount is the percent applied to?”</w:t>
            </w:r>
          </w:p>
        </w:tc>
      </w:tr>
      <w:tr w:rsidR="008469AA" w14:paraId="5B4D7F22" w14:textId="77777777">
        <w:tc>
          <w:tcPr>
            <w:tcW w:w="4996" w:type="dxa"/>
          </w:tcPr>
          <w:p w14:paraId="00329996" w14:textId="77777777" w:rsidR="008469AA" w:rsidRDefault="00000000">
            <w:pPr>
              <w:pStyle w:val="Compact"/>
            </w:pPr>
            <w:r>
              <w:t>Identify a whole</w:t>
            </w:r>
          </w:p>
        </w:tc>
        <w:tc>
          <w:tcPr>
            <w:tcW w:w="4997" w:type="dxa"/>
          </w:tcPr>
          <w:p w14:paraId="303AD015" w14:textId="77777777" w:rsidR="008469AA" w:rsidRDefault="00000000">
            <w:pPr>
              <w:pStyle w:val="Compact"/>
            </w:pPr>
            <w:r>
              <w:t>“What quantities combine to make the total?”</w:t>
            </w:r>
          </w:p>
        </w:tc>
      </w:tr>
      <w:tr w:rsidR="008469AA" w14:paraId="7C81E7BF" w14:textId="77777777">
        <w:tc>
          <w:tcPr>
            <w:tcW w:w="4996" w:type="dxa"/>
          </w:tcPr>
          <w:p w14:paraId="47132AD8" w14:textId="77777777" w:rsidR="008469AA" w:rsidRDefault="00000000">
            <w:pPr>
              <w:pStyle w:val="Compact"/>
            </w:pPr>
            <w:r>
              <w:t>Compare fairly</w:t>
            </w:r>
          </w:p>
        </w:tc>
        <w:tc>
          <w:tcPr>
            <w:tcW w:w="4997" w:type="dxa"/>
          </w:tcPr>
          <w:p w14:paraId="455F8519" w14:textId="77777777" w:rsidR="008469AA" w:rsidRDefault="00000000">
            <w:pPr>
              <w:pStyle w:val="Compact"/>
            </w:pPr>
            <w:r>
              <w:t>“What common unit should both options use?”</w:t>
            </w:r>
          </w:p>
        </w:tc>
      </w:tr>
      <w:tr w:rsidR="008469AA" w14:paraId="4158F733" w14:textId="77777777">
        <w:tc>
          <w:tcPr>
            <w:tcW w:w="4996" w:type="dxa"/>
          </w:tcPr>
          <w:p w14:paraId="1EA47829" w14:textId="77777777" w:rsidR="008469AA" w:rsidRDefault="00000000">
            <w:pPr>
              <w:pStyle w:val="Compact"/>
            </w:pPr>
            <w:r>
              <w:t>Track change</w:t>
            </w:r>
          </w:p>
        </w:tc>
        <w:tc>
          <w:tcPr>
            <w:tcW w:w="4997" w:type="dxa"/>
          </w:tcPr>
          <w:p w14:paraId="26A2746B" w14:textId="77777777" w:rsidR="008469AA" w:rsidRDefault="00000000">
            <w:pPr>
              <w:pStyle w:val="Compact"/>
            </w:pPr>
            <w:r>
              <w:t>“What is the new base after the first step?”</w:t>
            </w:r>
          </w:p>
        </w:tc>
      </w:tr>
      <w:tr w:rsidR="008469AA" w14:paraId="0F75B32F" w14:textId="77777777">
        <w:tc>
          <w:tcPr>
            <w:tcW w:w="4996" w:type="dxa"/>
          </w:tcPr>
          <w:p w14:paraId="0D104090" w14:textId="77777777" w:rsidR="008469AA" w:rsidRDefault="00000000">
            <w:pPr>
              <w:pStyle w:val="Compact"/>
            </w:pPr>
            <w:r>
              <w:t>Test proportionality</w:t>
            </w:r>
          </w:p>
        </w:tc>
        <w:tc>
          <w:tcPr>
            <w:tcW w:w="4997" w:type="dxa"/>
          </w:tcPr>
          <w:p w14:paraId="43899068" w14:textId="77777777" w:rsidR="008469AA" w:rsidRDefault="00000000">
            <w:pPr>
              <w:pStyle w:val="Compact"/>
            </w:pPr>
            <w:r>
              <w:t>“What happens at zero input?”</w:t>
            </w:r>
          </w:p>
        </w:tc>
      </w:tr>
      <w:tr w:rsidR="008469AA" w14:paraId="61BF300B" w14:textId="77777777">
        <w:tc>
          <w:tcPr>
            <w:tcW w:w="4996" w:type="dxa"/>
          </w:tcPr>
          <w:p w14:paraId="3167DDE7" w14:textId="77777777" w:rsidR="008469AA" w:rsidRDefault="00000000">
            <w:pPr>
              <w:pStyle w:val="Compact"/>
            </w:pPr>
            <w:r>
              <w:t>Check scale</w:t>
            </w:r>
          </w:p>
        </w:tc>
        <w:tc>
          <w:tcPr>
            <w:tcW w:w="4997" w:type="dxa"/>
          </w:tcPr>
          <w:p w14:paraId="78B8B9DC" w14:textId="77777777" w:rsidR="008469AA" w:rsidRDefault="00000000">
            <w:pPr>
              <w:pStyle w:val="Compact"/>
            </w:pPr>
            <w:r>
              <w:t>“Which direction are you moving?”</w:t>
            </w:r>
          </w:p>
        </w:tc>
      </w:tr>
      <w:tr w:rsidR="008469AA" w14:paraId="4C2A5522" w14:textId="77777777">
        <w:tc>
          <w:tcPr>
            <w:tcW w:w="4996" w:type="dxa"/>
          </w:tcPr>
          <w:p w14:paraId="7EA31140" w14:textId="77777777" w:rsidR="008469AA" w:rsidRDefault="00000000">
            <w:pPr>
              <w:pStyle w:val="Compact"/>
            </w:pPr>
            <w:r>
              <w:t>Check reasonableness</w:t>
            </w:r>
          </w:p>
        </w:tc>
        <w:tc>
          <w:tcPr>
            <w:tcW w:w="4997" w:type="dxa"/>
          </w:tcPr>
          <w:p w14:paraId="50D9BCBC" w14:textId="77777777" w:rsidR="008469AA" w:rsidRDefault="00000000">
            <w:pPr>
              <w:pStyle w:val="Compact"/>
            </w:pPr>
            <w:r>
              <w:t>“Should the answer be larger, smaller, or between known values?”</w:t>
            </w:r>
          </w:p>
        </w:tc>
      </w:tr>
    </w:tbl>
    <w:p w14:paraId="0F10D538" w14:textId="77777777" w:rsidR="008469AA" w:rsidRDefault="00000000">
      <w:pPr>
        <w:pStyle w:val="Heading2"/>
        <w:rPr>
          <w:rFonts w:hint="eastAsia"/>
        </w:rPr>
      </w:pPr>
      <w:r>
        <w:t>Differentiation</w:t>
      </w:r>
    </w:p>
    <w:p w14:paraId="13D06CFC" w14:textId="77777777" w:rsidR="008469AA" w:rsidRDefault="00000000">
      <w:pPr>
        <w:pStyle w:val="Heading3"/>
        <w:rPr>
          <w:rFonts w:hint="eastAsia"/>
        </w:rPr>
      </w:pPr>
      <w:r>
        <w:t>Students needing concrete support</w:t>
      </w:r>
    </w:p>
    <w:p w14:paraId="3DF1B665" w14:textId="77777777" w:rsidR="008469AA" w:rsidRDefault="00000000">
      <w:bookmarkStart w:id="982" w:name="students-needing-concrete-support_Copy_e"/>
      <w:r>
        <w:t>Use classification stations with only two or three choices at first. Require students to build the anchor model before using symbols. For a mixed problem, students can place the problem card beside a model card and explain the match orally.</w:t>
      </w:r>
      <w:bookmarkEnd w:id="982"/>
    </w:p>
    <w:p w14:paraId="7CEF1907" w14:textId="77777777" w:rsidR="008469AA" w:rsidRDefault="00000000">
      <w:pPr>
        <w:pStyle w:val="Heading3"/>
        <w:rPr>
          <w:rFonts w:hint="eastAsia"/>
        </w:rPr>
      </w:pPr>
      <w:bookmarkStart w:id="983" w:name="students-needing-language-support_Copy_e"/>
      <w:r>
        <w:t>Students needing language support</w:t>
      </w:r>
    </w:p>
    <w:p w14:paraId="7BA027A9" w14:textId="77777777" w:rsidR="008469AA" w:rsidRDefault="00000000">
      <w:r>
        <w:t>Use sentence frames:</w:t>
      </w:r>
    </w:p>
    <w:p w14:paraId="4A1E83D7" w14:textId="77777777" w:rsidR="008469AA" w:rsidRDefault="00000000">
      <w:pPr>
        <w:pStyle w:val="Compact"/>
        <w:numPr>
          <w:ilvl w:val="0"/>
          <w:numId w:val="32"/>
        </w:numPr>
      </w:pPr>
      <w:r>
        <w:t>“This problem is about __________ because __________.”</w:t>
      </w:r>
    </w:p>
    <w:p w14:paraId="0FB4BC47" w14:textId="77777777" w:rsidR="008469AA" w:rsidRDefault="00000000">
      <w:pPr>
        <w:pStyle w:val="Compact"/>
        <w:numPr>
          <w:ilvl w:val="0"/>
          <w:numId w:val="32"/>
        </w:numPr>
      </w:pPr>
      <w:r>
        <w:t>“The whole/base is __________.”</w:t>
      </w:r>
    </w:p>
    <w:p w14:paraId="23A7BC39" w14:textId="77777777" w:rsidR="008469AA" w:rsidRDefault="00000000">
      <w:pPr>
        <w:pStyle w:val="Compact"/>
        <w:numPr>
          <w:ilvl w:val="0"/>
          <w:numId w:val="32"/>
        </w:numPr>
      </w:pPr>
      <w:r>
        <w:t>“The anchor model is __________.”</w:t>
      </w:r>
    </w:p>
    <w:p w14:paraId="74EC94AB" w14:textId="77777777" w:rsidR="008469AA" w:rsidRDefault="00000000">
      <w:pPr>
        <w:pStyle w:val="Compact"/>
        <w:numPr>
          <w:ilvl w:val="0"/>
          <w:numId w:val="32"/>
        </w:numPr>
      </w:pPr>
      <w:r>
        <w:t>“I will use __________ because __________.”</w:t>
      </w:r>
    </w:p>
    <w:p w14:paraId="33106CA4" w14:textId="77777777" w:rsidR="008469AA" w:rsidRDefault="00000000">
      <w:pPr>
        <w:pStyle w:val="Compact"/>
        <w:numPr>
          <w:ilvl w:val="0"/>
          <w:numId w:val="32"/>
        </w:numPr>
      </w:pPr>
      <w:r>
        <w:t>“My answer is reasonable because __________.”</w:t>
      </w:r>
      <w:bookmarkEnd w:id="983"/>
    </w:p>
    <w:p w14:paraId="1824A779" w14:textId="77777777" w:rsidR="008469AA" w:rsidRDefault="00000000">
      <w:pPr>
        <w:pStyle w:val="Heading3"/>
        <w:rPr>
          <w:rFonts w:hint="eastAsia"/>
        </w:rPr>
      </w:pPr>
      <w:r>
        <w:t>Students ready to extend</w:t>
      </w:r>
    </w:p>
    <w:p w14:paraId="513982E8" w14:textId="77777777" w:rsidR="008469AA" w:rsidRDefault="00000000">
      <w:bookmarkStart w:id="984" w:name="students-ready-to-extend_Copy_14_1677"/>
      <w:r>
        <w:t>Ask students to design pairs of problems that use similar numbers but require different methods. Ask them to create a non-proportional situation that looks proportional at first, then explain the zero-origin or starting-amount evidence.</w:t>
      </w:r>
      <w:bookmarkEnd w:id="984"/>
    </w:p>
    <w:p w14:paraId="265FCFBB" w14:textId="77777777" w:rsidR="008469AA" w:rsidRDefault="00000000">
      <w:pPr>
        <w:pStyle w:val="Heading2"/>
        <w:rPr>
          <w:rFonts w:hint="eastAsia"/>
        </w:rPr>
      </w:pPr>
      <w:r>
        <w:lastRenderedPageBreak/>
        <w:t>Diagnostic rubric</w:t>
      </w:r>
    </w:p>
    <w:tbl>
      <w:tblPr>
        <w:tblStyle w:val="Table"/>
        <w:tblW w:w="5000" w:type="pct"/>
        <w:tblLayout w:type="fixed"/>
        <w:tblLook w:val="0020" w:firstRow="1" w:lastRow="0" w:firstColumn="0" w:lastColumn="0" w:noHBand="0" w:noVBand="0"/>
      </w:tblPr>
      <w:tblGrid>
        <w:gridCol w:w="1618"/>
        <w:gridCol w:w="1618"/>
        <w:gridCol w:w="1618"/>
        <w:gridCol w:w="1618"/>
        <w:gridCol w:w="1618"/>
      </w:tblGrid>
      <w:tr w:rsidR="008469AA" w14:paraId="6DCF41F9" w14:textId="77777777">
        <w:trPr>
          <w:tblHeader/>
        </w:trPr>
        <w:tc>
          <w:tcPr>
            <w:tcW w:w="1998" w:type="dxa"/>
            <w:shd w:val="clear" w:color="auto" w:fill="E8EEF7"/>
          </w:tcPr>
          <w:p w14:paraId="44B0FD6B" w14:textId="77777777" w:rsidR="008469AA" w:rsidRDefault="00000000">
            <w:pPr>
              <w:pStyle w:val="Compact"/>
            </w:pPr>
            <w:r>
              <w:t>Dimension</w:t>
            </w:r>
          </w:p>
        </w:tc>
        <w:tc>
          <w:tcPr>
            <w:tcW w:w="1999" w:type="dxa"/>
            <w:shd w:val="clear" w:color="auto" w:fill="E8EEF7"/>
          </w:tcPr>
          <w:p w14:paraId="54F6CC75" w14:textId="77777777" w:rsidR="008469AA" w:rsidRDefault="00000000">
            <w:pPr>
              <w:pStyle w:val="Compact"/>
            </w:pPr>
            <w:r>
              <w:t>4 — Secure and transferable</w:t>
            </w:r>
          </w:p>
        </w:tc>
        <w:tc>
          <w:tcPr>
            <w:tcW w:w="1999" w:type="dxa"/>
            <w:shd w:val="clear" w:color="auto" w:fill="E8EEF7"/>
          </w:tcPr>
          <w:p w14:paraId="1B0E9580" w14:textId="77777777" w:rsidR="008469AA" w:rsidRDefault="00000000">
            <w:pPr>
              <w:pStyle w:val="Compact"/>
            </w:pPr>
            <w:r>
              <w:t>3 — Secure with routine support</w:t>
            </w:r>
          </w:p>
        </w:tc>
        <w:tc>
          <w:tcPr>
            <w:tcW w:w="1999" w:type="dxa"/>
            <w:shd w:val="clear" w:color="auto" w:fill="E8EEF7"/>
          </w:tcPr>
          <w:p w14:paraId="1989FFAE" w14:textId="77777777" w:rsidR="008469AA" w:rsidRDefault="00000000">
            <w:pPr>
              <w:pStyle w:val="Compact"/>
            </w:pPr>
            <w:r>
              <w:t>2 — Developing</w:t>
            </w:r>
          </w:p>
        </w:tc>
        <w:tc>
          <w:tcPr>
            <w:tcW w:w="1999" w:type="dxa"/>
            <w:shd w:val="clear" w:color="auto" w:fill="E8EEF7"/>
          </w:tcPr>
          <w:p w14:paraId="5E22882E" w14:textId="77777777" w:rsidR="008469AA" w:rsidRDefault="00000000">
            <w:pPr>
              <w:pStyle w:val="Compact"/>
            </w:pPr>
            <w:r>
              <w:t>1 — Not yet secure</w:t>
            </w:r>
          </w:p>
        </w:tc>
      </w:tr>
      <w:tr w:rsidR="008469AA" w14:paraId="0F4C148D" w14:textId="77777777">
        <w:tc>
          <w:tcPr>
            <w:tcW w:w="1998" w:type="dxa"/>
          </w:tcPr>
          <w:p w14:paraId="4322D190" w14:textId="77777777" w:rsidR="008469AA" w:rsidRDefault="00000000">
            <w:pPr>
              <w:pStyle w:val="Compact"/>
            </w:pPr>
            <w:r>
              <w:t>Classification</w:t>
            </w:r>
          </w:p>
        </w:tc>
        <w:tc>
          <w:tcPr>
            <w:tcW w:w="1999" w:type="dxa"/>
          </w:tcPr>
          <w:p w14:paraId="29CE4E91" w14:textId="77777777" w:rsidR="008469AA" w:rsidRDefault="00000000">
            <w:pPr>
              <w:pStyle w:val="Compact"/>
            </w:pPr>
            <w:r>
              <w:t>Names the relationship accurately and explains evidence.</w:t>
            </w:r>
          </w:p>
        </w:tc>
        <w:tc>
          <w:tcPr>
            <w:tcW w:w="1999" w:type="dxa"/>
          </w:tcPr>
          <w:p w14:paraId="6AA8CE90" w14:textId="77777777" w:rsidR="008469AA" w:rsidRDefault="00000000">
            <w:pPr>
              <w:pStyle w:val="Compact"/>
            </w:pPr>
            <w:r>
              <w:t>Names the correct category with minor prompting.</w:t>
            </w:r>
          </w:p>
        </w:tc>
        <w:tc>
          <w:tcPr>
            <w:tcW w:w="1999" w:type="dxa"/>
          </w:tcPr>
          <w:p w14:paraId="69096BDD" w14:textId="77777777" w:rsidR="008469AA" w:rsidRDefault="00000000">
            <w:pPr>
              <w:pStyle w:val="Compact"/>
            </w:pPr>
            <w:r>
              <w:t>Confuses related categories.</w:t>
            </w:r>
          </w:p>
        </w:tc>
        <w:tc>
          <w:tcPr>
            <w:tcW w:w="1999" w:type="dxa"/>
          </w:tcPr>
          <w:p w14:paraId="297BD94C" w14:textId="77777777" w:rsidR="008469AA" w:rsidRDefault="00000000">
            <w:pPr>
              <w:pStyle w:val="Compact"/>
            </w:pPr>
            <w:r>
              <w:t>Begins calculating without classification.</w:t>
            </w:r>
          </w:p>
        </w:tc>
      </w:tr>
      <w:tr w:rsidR="008469AA" w14:paraId="2C8E9A01" w14:textId="77777777">
        <w:tc>
          <w:tcPr>
            <w:tcW w:w="1998" w:type="dxa"/>
          </w:tcPr>
          <w:p w14:paraId="74BD13D3" w14:textId="77777777" w:rsidR="008469AA" w:rsidRDefault="00000000">
            <w:pPr>
              <w:pStyle w:val="Compact"/>
            </w:pPr>
            <w:r>
              <w:t>Representation choice</w:t>
            </w:r>
          </w:p>
        </w:tc>
        <w:tc>
          <w:tcPr>
            <w:tcW w:w="1999" w:type="dxa"/>
          </w:tcPr>
          <w:p w14:paraId="14AE851C" w14:textId="77777777" w:rsidR="008469AA" w:rsidRDefault="00000000">
            <w:pPr>
              <w:pStyle w:val="Compact"/>
            </w:pPr>
            <w:r>
              <w:t>Selects an anchor model that exposes the structure.</w:t>
            </w:r>
          </w:p>
        </w:tc>
        <w:tc>
          <w:tcPr>
            <w:tcW w:w="1999" w:type="dxa"/>
          </w:tcPr>
          <w:p w14:paraId="0635359A" w14:textId="77777777" w:rsidR="008469AA" w:rsidRDefault="00000000">
            <w:pPr>
              <w:pStyle w:val="Compact"/>
            </w:pPr>
            <w:r>
              <w:t>Selects a workable model from familiar options.</w:t>
            </w:r>
          </w:p>
        </w:tc>
        <w:tc>
          <w:tcPr>
            <w:tcW w:w="1999" w:type="dxa"/>
          </w:tcPr>
          <w:p w14:paraId="425611CA" w14:textId="77777777" w:rsidR="008469AA" w:rsidRDefault="00000000">
            <w:pPr>
              <w:pStyle w:val="Compact"/>
            </w:pPr>
            <w:r>
              <w:t>Selects a model inconsistently.</w:t>
            </w:r>
          </w:p>
        </w:tc>
        <w:tc>
          <w:tcPr>
            <w:tcW w:w="1999" w:type="dxa"/>
          </w:tcPr>
          <w:p w14:paraId="7AF538BD" w14:textId="77777777" w:rsidR="008469AA" w:rsidRDefault="00000000">
            <w:pPr>
              <w:pStyle w:val="Compact"/>
            </w:pPr>
            <w:r>
              <w:t>Cannot connect a model to the context.</w:t>
            </w:r>
          </w:p>
        </w:tc>
      </w:tr>
      <w:tr w:rsidR="008469AA" w14:paraId="24296514" w14:textId="77777777">
        <w:tc>
          <w:tcPr>
            <w:tcW w:w="1998" w:type="dxa"/>
          </w:tcPr>
          <w:p w14:paraId="75B6EF0D" w14:textId="77777777" w:rsidR="008469AA" w:rsidRDefault="00000000">
            <w:pPr>
              <w:pStyle w:val="Compact"/>
            </w:pPr>
            <w:r>
              <w:t>Mathematical execution</w:t>
            </w:r>
          </w:p>
        </w:tc>
        <w:tc>
          <w:tcPr>
            <w:tcW w:w="1999" w:type="dxa"/>
          </w:tcPr>
          <w:p w14:paraId="05FDCBFF" w14:textId="77777777" w:rsidR="008469AA" w:rsidRDefault="00000000">
            <w:pPr>
              <w:pStyle w:val="Compact"/>
            </w:pPr>
            <w:r>
              <w:t>Calculates accurately and preserves the relationship.</w:t>
            </w:r>
          </w:p>
        </w:tc>
        <w:tc>
          <w:tcPr>
            <w:tcW w:w="1999" w:type="dxa"/>
          </w:tcPr>
          <w:p w14:paraId="7487BC4B" w14:textId="77777777" w:rsidR="008469AA" w:rsidRDefault="00000000">
            <w:pPr>
              <w:pStyle w:val="Compact"/>
            </w:pPr>
            <w:r>
              <w:t>Minor arithmetic errors but sound method.</w:t>
            </w:r>
          </w:p>
        </w:tc>
        <w:tc>
          <w:tcPr>
            <w:tcW w:w="1999" w:type="dxa"/>
          </w:tcPr>
          <w:p w14:paraId="164F6E1A" w14:textId="77777777" w:rsidR="008469AA" w:rsidRDefault="00000000">
            <w:pPr>
              <w:pStyle w:val="Compact"/>
            </w:pPr>
            <w:r>
              <w:t>Method partly correct or incomplete.</w:t>
            </w:r>
          </w:p>
        </w:tc>
        <w:tc>
          <w:tcPr>
            <w:tcW w:w="1999" w:type="dxa"/>
          </w:tcPr>
          <w:p w14:paraId="003FA1A8" w14:textId="77777777" w:rsidR="008469AA" w:rsidRDefault="00000000">
            <w:pPr>
              <w:pStyle w:val="Compact"/>
            </w:pPr>
            <w:r>
              <w:t>Procedure does not fit the problem.</w:t>
            </w:r>
          </w:p>
        </w:tc>
      </w:tr>
      <w:tr w:rsidR="008469AA" w14:paraId="04322064" w14:textId="77777777">
        <w:tc>
          <w:tcPr>
            <w:tcW w:w="1998" w:type="dxa"/>
          </w:tcPr>
          <w:p w14:paraId="631768D6" w14:textId="77777777" w:rsidR="008469AA" w:rsidRDefault="00000000">
            <w:pPr>
              <w:pStyle w:val="Compact"/>
            </w:pPr>
            <w:r>
              <w:t>Units and base</w:t>
            </w:r>
          </w:p>
        </w:tc>
        <w:tc>
          <w:tcPr>
            <w:tcW w:w="1999" w:type="dxa"/>
          </w:tcPr>
          <w:p w14:paraId="141DC74A" w14:textId="77777777" w:rsidR="008469AA" w:rsidRDefault="00000000">
            <w:pPr>
              <w:pStyle w:val="Compact"/>
            </w:pPr>
            <w:r>
              <w:t>Tracks units and changing base throughout.</w:t>
            </w:r>
          </w:p>
        </w:tc>
        <w:tc>
          <w:tcPr>
            <w:tcW w:w="1999" w:type="dxa"/>
          </w:tcPr>
          <w:p w14:paraId="55732AC9" w14:textId="77777777" w:rsidR="008469AA" w:rsidRDefault="00000000">
            <w:pPr>
              <w:pStyle w:val="Compact"/>
            </w:pPr>
            <w:r>
              <w:t>Usually tracks units and base.</w:t>
            </w:r>
          </w:p>
        </w:tc>
        <w:tc>
          <w:tcPr>
            <w:tcW w:w="1999" w:type="dxa"/>
          </w:tcPr>
          <w:p w14:paraId="3E3D571B" w14:textId="77777777" w:rsidR="008469AA" w:rsidRDefault="00000000">
            <w:pPr>
              <w:pStyle w:val="Compact"/>
            </w:pPr>
            <w:r>
              <w:t>Omits units or uses an earlier base.</w:t>
            </w:r>
          </w:p>
        </w:tc>
        <w:tc>
          <w:tcPr>
            <w:tcW w:w="1999" w:type="dxa"/>
          </w:tcPr>
          <w:p w14:paraId="52438AD6" w14:textId="77777777" w:rsidR="008469AA" w:rsidRDefault="00000000">
            <w:pPr>
              <w:pStyle w:val="Compact"/>
            </w:pPr>
            <w:r>
              <w:t>Does not identify units or base.</w:t>
            </w:r>
          </w:p>
        </w:tc>
      </w:tr>
      <w:tr w:rsidR="008469AA" w14:paraId="3780D291" w14:textId="77777777">
        <w:tc>
          <w:tcPr>
            <w:tcW w:w="1998" w:type="dxa"/>
          </w:tcPr>
          <w:p w14:paraId="12115E58" w14:textId="77777777" w:rsidR="008469AA" w:rsidRDefault="00000000">
            <w:pPr>
              <w:pStyle w:val="Compact"/>
            </w:pPr>
            <w:r>
              <w:t>Reasoning explanation</w:t>
            </w:r>
          </w:p>
        </w:tc>
        <w:tc>
          <w:tcPr>
            <w:tcW w:w="1999" w:type="dxa"/>
          </w:tcPr>
          <w:p w14:paraId="3F5D0A6B" w14:textId="77777777" w:rsidR="008469AA" w:rsidRDefault="00000000">
            <w:pPr>
              <w:pStyle w:val="Compact"/>
            </w:pPr>
            <w:r>
              <w:t>Explains why the method fits and interprets the answer.</w:t>
            </w:r>
          </w:p>
        </w:tc>
        <w:tc>
          <w:tcPr>
            <w:tcW w:w="1999" w:type="dxa"/>
          </w:tcPr>
          <w:p w14:paraId="6F658A67" w14:textId="77777777" w:rsidR="008469AA" w:rsidRDefault="00000000">
            <w:pPr>
              <w:pStyle w:val="Compact"/>
            </w:pPr>
            <w:r>
              <w:t>Gives a mostly correct explanation.</w:t>
            </w:r>
          </w:p>
        </w:tc>
        <w:tc>
          <w:tcPr>
            <w:tcW w:w="1999" w:type="dxa"/>
          </w:tcPr>
          <w:p w14:paraId="257B81F6" w14:textId="77777777" w:rsidR="008469AA" w:rsidRDefault="00000000">
            <w:pPr>
              <w:pStyle w:val="Compact"/>
            </w:pPr>
            <w:r>
              <w:t>Explanation is procedural or incomplete.</w:t>
            </w:r>
          </w:p>
        </w:tc>
        <w:tc>
          <w:tcPr>
            <w:tcW w:w="1999" w:type="dxa"/>
          </w:tcPr>
          <w:p w14:paraId="0E358D77" w14:textId="77777777" w:rsidR="008469AA" w:rsidRDefault="00000000">
            <w:pPr>
              <w:pStyle w:val="Compact"/>
            </w:pPr>
            <w:r>
              <w:t>Cannot justify the solution.</w:t>
            </w:r>
          </w:p>
        </w:tc>
      </w:tr>
      <w:tr w:rsidR="008469AA" w14:paraId="2F554F91" w14:textId="77777777">
        <w:tc>
          <w:tcPr>
            <w:tcW w:w="1998" w:type="dxa"/>
          </w:tcPr>
          <w:p w14:paraId="641AD153" w14:textId="77777777" w:rsidR="008469AA" w:rsidRDefault="00000000">
            <w:pPr>
              <w:pStyle w:val="Compact"/>
            </w:pPr>
            <w:r>
              <w:t>Checking</w:t>
            </w:r>
          </w:p>
        </w:tc>
        <w:tc>
          <w:tcPr>
            <w:tcW w:w="1999" w:type="dxa"/>
          </w:tcPr>
          <w:p w14:paraId="73DD5662" w14:textId="77777777" w:rsidR="008469AA" w:rsidRDefault="00000000">
            <w:pPr>
              <w:pStyle w:val="Compact"/>
            </w:pPr>
            <w:r>
              <w:t>Uses an appropriate inverse, second representation, or reasonableness check.</w:t>
            </w:r>
          </w:p>
        </w:tc>
        <w:tc>
          <w:tcPr>
            <w:tcW w:w="1999" w:type="dxa"/>
          </w:tcPr>
          <w:p w14:paraId="0D47E9C3" w14:textId="77777777" w:rsidR="008469AA" w:rsidRDefault="00000000">
            <w:pPr>
              <w:pStyle w:val="Compact"/>
            </w:pPr>
            <w:r>
              <w:t>Checks when prompted.</w:t>
            </w:r>
          </w:p>
        </w:tc>
        <w:tc>
          <w:tcPr>
            <w:tcW w:w="1999" w:type="dxa"/>
          </w:tcPr>
          <w:p w14:paraId="1ADF9092" w14:textId="77777777" w:rsidR="008469AA" w:rsidRDefault="00000000">
            <w:pPr>
              <w:pStyle w:val="Compact"/>
            </w:pPr>
            <w:r>
              <w:t>Performs a partial check.</w:t>
            </w:r>
          </w:p>
        </w:tc>
        <w:tc>
          <w:tcPr>
            <w:tcW w:w="1999" w:type="dxa"/>
          </w:tcPr>
          <w:p w14:paraId="0DB9E365" w14:textId="77777777" w:rsidR="008469AA" w:rsidRDefault="00000000">
            <w:pPr>
              <w:pStyle w:val="Compact"/>
            </w:pPr>
            <w:r>
              <w:t>Does not check.</w:t>
            </w:r>
            <w:bookmarkStart w:id="985" w:name="diagnostic-rubric"/>
            <w:bookmarkEnd w:id="985"/>
          </w:p>
        </w:tc>
      </w:tr>
    </w:tbl>
    <w:p w14:paraId="76DA3827" w14:textId="77777777" w:rsidR="008469AA" w:rsidRDefault="00000000">
      <w:pPr>
        <w:pStyle w:val="Heading2"/>
        <w:rPr>
          <w:rFonts w:hint="eastAsia"/>
        </w:rPr>
      </w:pPr>
      <w:r>
        <w:t>Reteaching decisions</w:t>
      </w:r>
    </w:p>
    <w:p w14:paraId="2CA91F23" w14:textId="77777777" w:rsidR="008469AA" w:rsidRDefault="00000000">
      <w:bookmarkStart w:id="986" w:name="teacher-guide_Copy_14_1679"/>
      <w:r>
        <w:lastRenderedPageBreak/>
        <w:t>If a student scores 1 in classification, return to the station-card sort. If the student scores 1 in representation choice, rebuild one category with concrete materials. If the student scores 1 in units and base, use quantity-and-unit cards and original–change–final bars. If the student scores 1 in checking, require every answer to include a written inverse or zero-origin test.</w:t>
      </w:r>
      <w:bookmarkEnd w:id="986"/>
    </w:p>
    <w:p w14:paraId="6F1C5C00" w14:textId="77777777" w:rsidR="008469AA" w:rsidRDefault="00000000">
      <w:pPr>
        <w:pStyle w:val="Heading2"/>
        <w:rPr>
          <w:rFonts w:hint="eastAsia"/>
        </w:rPr>
      </w:pPr>
      <w:r>
        <w:t>Revision Support: Expected Ideas and Teacher Moves</w:t>
      </w:r>
    </w:p>
    <w:p w14:paraId="2E02677C" w14:textId="77777777" w:rsidR="008469AA" w:rsidRDefault="00000000">
      <w:r>
        <w:t>Use this compact guide with the new Cumulative Connection and Strategy Studio tasks. Accept equivalent representations when the relationship, units, and reasoning are correct.</w:t>
      </w:r>
    </w:p>
    <w:p w14:paraId="2D48C0B6" w14:textId="77777777" w:rsidR="008469AA" w:rsidRDefault="00000000">
      <w:pPr>
        <w:pStyle w:val="Compact"/>
      </w:pPr>
      <w:r>
        <w:t>Cumulative Connection: Classify a situation as part-whole, ratio, rate, percent, scale, or another relationship before solving. Choose a representation for a missing-value problem and explain why it fits. Estimate the answer to a multi-step proportional problem. Write a final sentence that interprets the answer with units.</w:t>
      </w:r>
    </w:p>
    <w:p w14:paraId="5B15D697" w14:textId="77777777" w:rsidR="008469AA" w:rsidRDefault="00000000">
      <w:pPr>
        <w:pStyle w:val="BodyText"/>
      </w:pPr>
      <w:r>
        <w:t>Strategy Studio guidance: Expected ideas: $160 × 0.75 × 1.08 = $129.60; without a scale, the map distance cannot be converted to a real distance; equivalent numerical answers must be interpreted with their units; students should classify before selecting an operation. Score the final task for classification, representation, reasoning, computation, and checking.</w:t>
      </w:r>
    </w:p>
    <w:p w14:paraId="6FD63BD7" w14:textId="77777777" w:rsidR="008469AA" w:rsidRDefault="00000000">
      <w:pPr>
        <w:pStyle w:val="Heading2"/>
        <w:rPr>
          <w:rFonts w:hint="eastAsia"/>
        </w:rPr>
      </w:pPr>
      <w:r>
        <w:t>Transfer Bridge Teacher Guidance</w:t>
      </w:r>
    </w:p>
    <w:p w14:paraId="08C290E8"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2B3DDA0B" w14:textId="77777777" w:rsidR="008469AA" w:rsidRDefault="00000000">
      <w:pPr>
        <w:pStyle w:val="BodyText"/>
      </w:pPr>
      <w:r>
        <w:t>Expected guidance: Familiar: classify as multi-step percent; $160 × 0.75 × 1.08 = $129.60. Altered: without a map scale, real distance cannot be determined. Non-routine: equivalent numerical answers can describe different quantities and units. Repair: cross multiplication is one tool, not a classification method; first identify the relationship, then select a representation and operation.</w:t>
      </w:r>
    </w:p>
    <w:p w14:paraId="7EE28F97"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54AB8B84" w14:textId="77777777" w:rsidR="008469AA" w:rsidRDefault="00000000">
      <w:pPr>
        <w:pStyle w:val="Heading3"/>
        <w:rPr>
          <w:rFonts w:hint="eastAsia"/>
        </w:rPr>
      </w:pPr>
      <w:r>
        <w:t>Discussion and evidence note</w:t>
      </w:r>
    </w:p>
    <w:p w14:paraId="541423F0"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23B397FD" w14:textId="77777777" w:rsidR="008469AA" w:rsidRDefault="008469AA">
      <w:pPr>
        <w:sectPr w:rsidR="008469AA">
          <w:headerReference w:type="default" r:id="rId187"/>
          <w:footerReference w:type="default" r:id="rId188"/>
          <w:headerReference w:type="first" r:id="rId189"/>
          <w:footerReference w:type="first" r:id="rId190"/>
          <w:type w:val="continuous"/>
          <w:pgSz w:w="12240" w:h="15840"/>
          <w:pgMar w:top="864" w:right="864" w:bottom="864" w:left="864" w:header="576" w:footer="576" w:gutter="0"/>
          <w:cols w:space="720"/>
          <w:formProt w:val="0"/>
          <w:docGrid w:linePitch="360"/>
        </w:sectPr>
      </w:pPr>
    </w:p>
    <w:p w14:paraId="3BDA8AAB" w14:textId="77777777" w:rsidR="008469AA" w:rsidRDefault="00000000">
      <w:pPr>
        <w:pStyle w:val="Heading1"/>
        <w:rPr>
          <w:rFonts w:hint="eastAsia"/>
        </w:rPr>
      </w:pPr>
      <w:r>
        <w:lastRenderedPageBreak/>
        <w:t>Answer Key</w:t>
      </w:r>
    </w:p>
    <w:p w14:paraId="4A06A015" w14:textId="77777777" w:rsidR="008469AA" w:rsidRDefault="00000000">
      <w:pPr>
        <w:pStyle w:val="Heading2"/>
        <w:rPr>
          <w:rFonts w:hint="eastAsia"/>
        </w:rPr>
      </w:pPr>
      <w:r>
        <w:t>Ready-to-Learn Check</w:t>
      </w:r>
    </w:p>
    <w:p w14:paraId="7B3816EC" w14:textId="77777777" w:rsidR="008469AA" w:rsidRDefault="00000000">
      <w:pPr>
        <w:pStyle w:val="Compact"/>
      </w:pPr>
      <w:r>
        <w:t>Percent of a whole.</w:t>
      </w:r>
    </w:p>
    <w:p w14:paraId="31D45F03" w14:textId="77777777" w:rsidR="008469AA" w:rsidRDefault="00000000">
      <w:pPr>
        <w:pStyle w:val="Compact"/>
      </w:pPr>
      <w:r>
        <w:t>Ratio with total.</w:t>
      </w:r>
    </w:p>
    <w:p w14:paraId="3B4DB28F" w14:textId="77777777" w:rsidR="008469AA" w:rsidRDefault="00000000">
      <w:pPr>
        <w:pStyle w:val="Compact"/>
      </w:pPr>
      <w:r>
        <w:t>Unit rate or proportion.</w:t>
      </w:r>
    </w:p>
    <w:p w14:paraId="2EC7E1D4" w14:textId="77777777" w:rsidR="008469AA" w:rsidRDefault="00000000">
      <w:pPr>
        <w:pStyle w:val="Compact"/>
      </w:pPr>
      <w:r>
        <w:t>Scale.</w:t>
      </w:r>
    </w:p>
    <w:p w14:paraId="452F5F9A" w14:textId="77777777" w:rsidR="008469AA" w:rsidRDefault="00000000">
      <w:pPr>
        <w:pStyle w:val="Compact"/>
      </w:pPr>
      <w:r>
        <w:t>Multi-step percent.</w:t>
      </w:r>
    </w:p>
    <w:p w14:paraId="45736BC4" w14:textId="77777777" w:rsidR="008469AA" w:rsidRDefault="00000000">
      <w:pPr>
        <w:pStyle w:val="Compact"/>
      </w:pPr>
      <w:r>
        <w:t>Proportional, y = 4x.</w:t>
      </w:r>
    </w:p>
    <w:p w14:paraId="77FA095A" w14:textId="77777777" w:rsidR="008469AA" w:rsidRDefault="00000000">
      <w:pPr>
        <w:pStyle w:val="Compact"/>
      </w:pPr>
      <w:r>
        <w:t>Not proportional.</w:t>
      </w:r>
    </w:p>
    <w:p w14:paraId="4E45C904" w14:textId="77777777" w:rsidR="008469AA" w:rsidRDefault="00000000">
      <w:pPr>
        <w:pStyle w:val="Compact"/>
      </w:pPr>
      <w:bookmarkStart w:id="987" w:name="ready-to-learn-check_Copy_30_1682"/>
      <w:r>
        <w:t>It makes comparisons fair.</w:t>
      </w:r>
      <w:bookmarkEnd w:id="987"/>
    </w:p>
    <w:p w14:paraId="663D79F0" w14:textId="77777777" w:rsidR="008469AA" w:rsidRDefault="00000000">
      <w:pPr>
        <w:pStyle w:val="Heading2"/>
        <w:rPr>
          <w:rFonts w:hint="eastAsia"/>
        </w:rPr>
      </w:pPr>
      <w:bookmarkStart w:id="988" w:name="worksheet-a_Copy_15"/>
      <w:r>
        <w:t>Worksheet A</w:t>
      </w:r>
    </w:p>
    <w:p w14:paraId="5F7BE412" w14:textId="140F5D13" w:rsidR="008469AA" w:rsidRDefault="008E30CC" w:rsidP="008E30CC">
      <w:pPr>
        <w:pStyle w:val="Compact"/>
        <w:ind w:left="426" w:right="42" w:hanging="426"/>
      </w:pPr>
      <w:r>
        <w:rPr>
          <w:b/>
          <w:bCs/>
        </w:rPr>
        <w:t xml:space="preserve">1.     30.</w:t>
      </w:r>
      <w:r>
        <w:t xml:space="preserve"> </w:t>
      </w:r>
      <w:r>
        <w:rPr>
          <w:i/>
          <w:iCs/>
        </w:rPr>
        <w:t>Likely wrong answer: 25% of 120 computed as 120 − 25 = 95, treating percent as a subtraction. Misconception: not recognizing “percent of” as multiplication by a decimal. Next move: “does 25% of 120 mean subtract 25, or multiply by 0.25?”</w:t>
      </w:r>
    </w:p>
    <w:p w14:paraId="2EE9785B" w14:textId="10169AA4" w:rsidR="008469AA" w:rsidRDefault="008E30CC" w:rsidP="008E30CC">
      <w:pPr>
        <w:ind w:left="426" w:hanging="426"/>
      </w:pPr>
      <w:r>
        <w:rPr>
          <w:b/>
          <w:bCs/>
        </w:rPr>
        <w:t xml:space="preserve">2.     25%.</w:t>
      </w:r>
      <w:r>
        <w:t xml:space="preserve"> </w:t>
      </w:r>
      <w:r>
        <w:rPr>
          <w:i/>
          <w:iCs/>
        </w:rPr>
        <w:t>Likely wrong answer: 4 (divides 72 by 18 instead of 18 by 72, reversing part and whole). Misconception: dividing in the wrong order. Next move: “which number is the part, and which is the whole?”</w:t>
      </w:r>
    </w:p>
    <w:p w14:paraId="4DBB1186" w14:textId="31227980" w:rsidR="008469AA" w:rsidRDefault="008E30CC" w:rsidP="008E30CC">
      <w:pPr>
        <w:ind w:left="426" w:hanging="426"/>
      </w:pPr>
      <w:r>
        <w:rPr>
          <w:b/>
          <w:bCs/>
        </w:rPr>
        <w:t xml:space="preserve">3.     Total parts 5; one part 8; red = 24.</w:t>
      </w:r>
      <w:r>
        <w:t xml:space="preserve"> </w:t>
      </w:r>
      <w:r>
        <w:rPr>
          <w:i/>
          <w:iCs/>
        </w:rPr>
        <w:t xml:space="preserve">Likely wrong answer: treats “3:2” as if red were </w:t>
      </w:r>
      <m:oMath>
        <m:f>
          <m:fPr>
            <m:ctrlPr>
              <w:rPr>
                <w:rFonts w:ascii="Cambria Math" w:hAnsi="Cambria Math"/>
              </w:rPr>
            </m:ctrlPr>
          </m:fPr>
          <m:num>
            <m:r>
              <w:rPr>
                <w:rFonts w:ascii="Cambria Math" w:hAnsi="Cambria Math"/>
              </w:rPr>
              <m:t>3</m:t>
            </m:r>
          </m:num>
          <m:den>
            <m:r>
              <w:rPr>
                <w:rFonts w:ascii="Cambria Math" w:hAnsi="Cambria Math"/>
              </w:rPr>
              <m:t>2</m:t>
            </m:r>
          </m:den>
        </m:f>
      </m:oMath>
      <w:r>
        <w:rPr>
          <w:i/>
          <w:iCs/>
        </w:rPr>
        <w:t xml:space="preserve"> of the total, without adding the ratio parts first. Misconception: treating a part-to-part ratio as if the second number were already the whole. Next move: “how many total parts does 3:2 make?”</w:t>
      </w:r>
    </w:p>
    <w:p w14:paraId="1C9C330C" w14:textId="60D6D25B" w:rsidR="008469AA" w:rsidRDefault="008E30CC" w:rsidP="008E30CC">
      <w:pPr>
        <w:ind w:left="426" w:hanging="426"/>
      </w:pPr>
      <w:r>
        <w:rPr>
          <w:b/>
          <w:bCs/>
        </w:rPr>
        <w:t xml:space="preserve">4.     $24.</w:t>
      </w:r>
      <w:r>
        <w:t xml:space="preserve"> </w:t>
      </w:r>
      <w:r>
        <w:rPr>
          <w:i/>
          <w:iCs/>
        </w:rPr>
        <w:t>Likely wrong answer: $3 (finds the unit rate but forgets to multiply by 8). Misconception: the unit-fraction-only error — stopping before scaling to the requested amount. Next move: “what does one pen cost? Multiply by 8.”</w:t>
      </w:r>
    </w:p>
    <w:p w14:paraId="2F5F2662" w14:textId="35D4F525" w:rsidR="008469AA" w:rsidRDefault="008E30CC" w:rsidP="008E30CC">
      <w:pPr>
        <w:ind w:left="426" w:hanging="426"/>
      </w:pPr>
      <w:r>
        <w:rPr>
          <w:b/>
          <w:bCs/>
        </w:rPr>
        <w:t xml:space="preserve">5.     4 for $12 is $3/item; 6 for $15 is $2.50/item, so 6 for $15.</w:t>
      </w:r>
      <w:r>
        <w:t xml:space="preserve"> </w:t>
      </w:r>
      <w:r>
        <w:rPr>
          <w:i/>
          <w:iCs/>
        </w:rPr>
        <w:t>Likely wrong answer: picks 4 for $12, reasoning that $12 is a lower total price. Misconception: comparing totals instead of unit prices. Next move: “what does one item cost in each deal?”</w:t>
      </w:r>
    </w:p>
    <w:p w14:paraId="70503AF7" w14:textId="0E969BCE" w:rsidR="008469AA" w:rsidRDefault="008E30CC" w:rsidP="008E30CC">
      <w:pPr>
        <w:ind w:left="426" w:hanging="426"/>
      </w:pPr>
      <w:r>
        <w:rPr>
          <w:b/>
          <w:bCs/>
        </w:rPr>
        <w:t xml:space="preserve">6.     42 km.</w:t>
      </w:r>
      <w:r>
        <w:t xml:space="preserve"> </w:t>
      </w:r>
      <w:r>
        <w:rPr>
          <w:i/>
          <w:iCs/>
        </w:rPr>
        <w:t xml:space="preserve">Likely wrong answer: 1.17 km (divides instead of multiplying for a map-to-real conversion). Misconception: reversing the scale direction. Next move: “does one centimetre represent a bigger or smaller real distance?”</w:t>
      </w:r>
    </w:p>
    <w:p w14:paraId="50F30CDE" w14:textId="25DCF160" w:rsidR="008469AA" w:rsidRDefault="008E30CC" w:rsidP="008E30CC">
      <w:pPr>
        <w:ind w:left="426" w:hanging="426"/>
      </w:pPr>
      <w:r>
        <w:rPr>
          <w:b/>
          <w:bCs/>
        </w:rPr>
        <w:t xml:space="preserve">7.     7 cm.</w:t>
      </w:r>
      <w:r>
        <w:t xml:space="preserve"> </w:t>
      </w:r>
      <w:r>
        <w:rPr>
          <w:i/>
          <w:iCs/>
        </w:rPr>
        <w:t>Likely wrong answer: 112 cm (multiplies instead of dividing for a real-to-drawing conversion). Misconception: reversing the scale direction. Next move: “should the drawing be bigger or smaller than the real wall?”</w:t>
      </w:r>
    </w:p>
    <w:p w14:paraId="17417326" w14:textId="3CA27DDC" w:rsidR="008469AA" w:rsidRDefault="008E30CC" w:rsidP="008E30CC">
      <w:pPr>
        <w:ind w:left="426" w:hanging="426"/>
      </w:pPr>
      <w:r>
        <w:rPr>
          <w:b/>
          <w:bCs/>
        </w:rPr>
        <w:t xml:space="preserve">8.     Yes, y = 5x.</w:t>
      </w:r>
      <w:r>
        <w:t xml:space="preserve"> </w:t>
      </w:r>
      <w:r>
        <w:rPr>
          <w:i/>
          <w:iCs/>
        </w:rPr>
        <w:t>Likely wrong answer: “yes” based on the rising pattern alone, without computing y ÷ x for each pair. Misconception: assuming any increasing table is proportional. Next move: “compute y ÷ x for every pair — is it the same number?”</w:t>
      </w:r>
    </w:p>
    <w:p w14:paraId="44EB2BC2" w14:textId="28383058" w:rsidR="008469AA" w:rsidRDefault="008E30CC" w:rsidP="008E30CC">
      <w:pPr>
        <w:ind w:left="426" w:hanging="426"/>
      </w:pPr>
      <w:r>
        <w:rPr>
          <w:b/>
          <w:bCs/>
        </w:rPr>
        <w:lastRenderedPageBreak/>
        <w:t xml:space="preserve">9.     $48.</w:t>
      </w:r>
      <w:r>
        <w:t xml:space="preserve"> </w:t>
      </w:r>
      <w:r>
        <w:rPr>
          <w:i/>
          <w:iCs/>
        </w:rPr>
        <w:t>Likely wrong answer: $40 (subtracts 20% as 20 dollars instead of finding 20% of 60). Misconception: treating the percent number as a dollar amount. Next move: “is $20 the same as 20% of $60?”</w:t>
      </w:r>
    </w:p>
    <w:p w14:paraId="0CFA78BD" w14:textId="6854135C" w:rsidR="008469AA" w:rsidRDefault="00114391" w:rsidP="00114391">
      <w:pPr>
        <w:ind w:left="426" w:hanging="426"/>
      </w:pPr>
      <w:r>
        <w:rPr>
          <w:b/>
          <w:bCs/>
        </w:rPr>
        <w:t xml:space="preserve">10.  Total parts are 7, so boys are 2 of 7 parts, or </w:t>
      </w:r>
      <m:oMath>
        <m:f>
          <m:fPr>
            <m:ctrlPr>
              <w:rPr>
                <w:rFonts w:ascii="Cambria Math" w:hAnsi="Cambria Math"/>
              </w:rPr>
            </m:ctrlPr>
          </m:fPr>
          <m:num>
            <m:r>
              <w:rPr>
                <w:rFonts w:ascii="Cambria Math" w:hAnsi="Cambria Math"/>
              </w:rPr>
              <m:t>2</m:t>
            </m:r>
          </m:num>
          <m:den>
            <m:r>
              <w:rPr>
                <w:rFonts w:ascii="Cambria Math" w:hAnsi="Cambria Math"/>
              </w:rPr>
              <m:t>7</m:t>
            </m:r>
          </m:den>
        </m:f>
      </m:oMath>
      <w:r>
        <w:rPr>
          <w:b/>
          <w:bCs/>
        </w:rPr>
        <w:t xml:space="preserve"> of the class.</w:t>
      </w:r>
      <w:r>
        <w:t xml:space="preserve"> </w:t>
      </w:r>
      <w:r>
        <w:rPr>
          <w:i/>
          <w:iCs/>
        </w:rPr>
        <w:t xml:space="preserve">Common flaw: states the correct fraction without explaining why </w:t>
      </w:r>
      <m:oMath>
        <m:f>
          <m:fPr>
            <m:ctrlPr>
              <w:rPr>
                <w:rFonts w:ascii="Cambria Math" w:hAnsi="Cambria Math"/>
              </w:rPr>
            </m:ctrlPr>
          </m:fPr>
          <m:num>
            <m:r>
              <w:rPr>
                <w:rFonts w:ascii="Cambria Math" w:hAnsi="Cambria Math"/>
              </w:rPr>
              <m:t>2</m:t>
            </m:r>
          </m:num>
          <m:den>
            <m:r>
              <w:rPr>
                <w:rFonts w:ascii="Cambria Math" w:hAnsi="Cambria Math"/>
              </w:rPr>
              <m:t>5</m:t>
            </m:r>
          </m:den>
        </m:f>
      </m:oMath>
      <w:r>
        <w:rPr>
          <w:i/>
          <w:iCs/>
        </w:rPr>
        <w:t xml:space="preserve"> is wrong. Next move: ask what the 5 in “2:5” actually represents.</w:t>
      </w:r>
      <w:bookmarkEnd w:id="988"/>
    </w:p>
    <w:p w14:paraId="7FF6942B" w14:textId="77777777" w:rsidR="008469AA" w:rsidRDefault="00000000">
      <w:pPr>
        <w:pStyle w:val="Heading2"/>
        <w:rPr>
          <w:rFonts w:hint="eastAsia"/>
        </w:rPr>
      </w:pPr>
      <w:bookmarkStart w:id="989" w:name="worksheet-b_Copy_15"/>
      <w:r>
        <w:t>Worksheet B</w:t>
      </w:r>
    </w:p>
    <w:p w14:paraId="319F2797" w14:textId="3D763B98" w:rsidR="008469AA" w:rsidRDefault="00114391" w:rsidP="00114391">
      <w:pPr>
        <w:ind w:left="426" w:hanging="426"/>
      </w:pPr>
      <w:r>
        <w:rPr>
          <w:b/>
          <w:bCs/>
        </w:rPr>
        <w:t xml:space="preserve">1.    70.</w:t>
      </w:r>
      <w:r>
        <w:t xml:space="preserve"> </w:t>
      </w:r>
      <w:r>
        <w:rPr>
          <w:i/>
          <w:iCs/>
        </w:rPr>
        <w:t>Likely wrong answer: 165 (adds 35 and 200 as if the percent number were a quantity to combine). Misconception: not converting the percent to a decimal before multiplying. Next move: “35% as a decimal is what number?”</w:t>
      </w:r>
    </w:p>
    <w:p w14:paraId="41BE89F9" w14:textId="2A22F376" w:rsidR="008469AA" w:rsidRDefault="00114391" w:rsidP="00114391">
      <w:pPr>
        <w:ind w:left="426" w:hanging="426"/>
      </w:pPr>
      <w:r>
        <w:rPr>
          <w:b/>
          <w:bCs/>
        </w:rPr>
        <w:t xml:space="preserve">2.     30%.</w:t>
      </w:r>
      <w:r>
        <w:t xml:space="preserve"> </w:t>
      </w:r>
      <w:r>
        <w:rPr>
          <w:i/>
          <w:iCs/>
        </w:rPr>
        <w:t>Likely wrong answer: 3.33 (divides 150 by 45 instead of 45 by 150, reversing part and whole). Misconception: dividing in the wrong order. Next move: “which number is the part, and which is the whole?”</w:t>
      </w:r>
    </w:p>
    <w:p w14:paraId="45BFDF30" w14:textId="0788099A" w:rsidR="008469AA" w:rsidRDefault="00114391" w:rsidP="00114391">
      <w:pPr>
        <w:ind w:left="426" w:hanging="426"/>
      </w:pPr>
      <w:r>
        <w:rPr>
          <w:b/>
          <w:bCs/>
        </w:rPr>
        <w:t xml:space="preserve">3.     80.</w:t>
      </w:r>
      <w:r>
        <w:t xml:space="preserve"> </w:t>
      </w:r>
      <w:r>
        <w:rPr>
          <w:i/>
          <w:iCs/>
        </w:rPr>
        <w:t>Likely wrong answer: 7.2 (multiplies 24 by 0.30 instead of dividing). Misconception: multiplying regardless of which quantity is missing. Next move: “is 24 the part or the whole here?”</w:t>
      </w:r>
    </w:p>
    <w:p w14:paraId="6CE20415" w14:textId="015D8C14" w:rsidR="008469AA" w:rsidRDefault="00114391" w:rsidP="00114391">
      <w:pPr>
        <w:ind w:left="426" w:hanging="426"/>
      </w:pPr>
      <w:r>
        <w:rPr>
          <w:b/>
          <w:bCs/>
        </w:rPr>
        <w:t xml:space="preserve">4.     Sale price $35; tax $3.50; final $38.50.</w:t>
      </w:r>
      <w:r>
        <w:t xml:space="preserve"> </w:t>
      </w:r>
      <w:r>
        <w:rPr>
          <w:i/>
          <w:iCs/>
        </w:rPr>
        <w:t xml:space="preserve">Likely wrong answer: tax calculated on the original $50 instead of the $35 sale price. Misconception: not tracking the base across steps — the recurring multi-step percent error. Next move: “what amount does the 10% tax apply to?”</w:t>
      </w:r>
    </w:p>
    <w:p w14:paraId="35C39D0E" w14:textId="76240684" w:rsidR="008469AA" w:rsidRDefault="00114391" w:rsidP="00114391">
      <w:pPr>
        <w:ind w:left="426" w:hanging="426"/>
      </w:pPr>
      <w:r>
        <w:rPr>
          <w:b/>
          <w:bCs/>
        </w:rPr>
        <w:t xml:space="preserve">5.     Total parts 9; one part 7; cats 28 and dogs 35.</w:t>
      </w:r>
      <w:r>
        <w:t xml:space="preserve"> </w:t>
      </w:r>
      <w:r>
        <w:rPr>
          <w:i/>
          <w:iCs/>
        </w:rPr>
        <w:t xml:space="preserve">Likely wrong answer: treats “4:5” as if cats were </w:t>
      </w:r>
      <m:oMath>
        <m:f>
          <m:fPr>
            <m:ctrlPr>
              <w:rPr>
                <w:rFonts w:ascii="Cambria Math" w:hAnsi="Cambria Math"/>
              </w:rPr>
            </m:ctrlPr>
          </m:fPr>
          <m:num>
            <m:r>
              <w:rPr>
                <w:rFonts w:ascii="Cambria Math" w:hAnsi="Cambria Math"/>
              </w:rPr>
              <m:t>4</m:t>
            </m:r>
          </m:num>
          <m:den>
            <m:r>
              <w:rPr>
                <w:rFonts w:ascii="Cambria Math" w:hAnsi="Cambria Math"/>
              </w:rPr>
              <m:t>5</m:t>
            </m:r>
          </m:den>
        </m:f>
      </m:oMath>
      <w:r>
        <w:rPr>
          <w:i/>
          <w:iCs/>
        </w:rPr>
        <w:t xml:space="preserve"> of the total, without adding the ratio parts first. Misconception: treating a part-to-part ratio as if the second number were already the whole. Next move: “how many total parts does 4:5 make?”</w:t>
      </w:r>
    </w:p>
    <w:p w14:paraId="2C6CEC7E" w14:textId="063F9EB9" w:rsidR="008469AA" w:rsidRDefault="00114391" w:rsidP="00114391">
      <w:pPr>
        <w:ind w:left="426" w:hanging="426"/>
      </w:pPr>
      <w:r>
        <w:rPr>
          <w:b/>
          <w:bCs/>
        </w:rPr>
        <w:t xml:space="preserve">6.     3:5.</w:t>
      </w:r>
      <w:r>
        <w:t xml:space="preserve"> </w:t>
      </w:r>
      <w:r>
        <w:rPr>
          <w:i/>
          <w:iCs/>
        </w:rPr>
        <w:t>Likely wrong answer: 9:15 (divides by a common factor but not the greatest one). Misconception: incomplete simplification. Next move: “is there a larger number that still divides both 18 and 30?”</w:t>
      </w:r>
    </w:p>
    <w:p w14:paraId="69B95F69" w14:textId="48AC1393" w:rsidR="008469AA" w:rsidRDefault="00114391" w:rsidP="00114391">
      <w:pPr>
        <w:ind w:left="426" w:hanging="426"/>
      </w:pPr>
      <w:r>
        <w:rPr>
          <w:b/>
          <w:bCs/>
        </w:rPr>
        <w:t xml:space="preserve">7.     8x = 200, so x = 25.</w:t>
      </w:r>
      <w:r>
        <w:t xml:space="preserve"> </w:t>
      </w:r>
      <w:r>
        <w:rPr>
          <w:i/>
          <w:iCs/>
        </w:rPr>
        <w:t>Likely wrong answer: cross-multiplies the wrong pairs, such as 5 × 8 = 40, giving a different value. Misconception: incorrect cross-products. Next move: “which two numbers are diagonal from each other?”</w:t>
      </w:r>
    </w:p>
    <w:p w14:paraId="078E1D7C" w14:textId="6AFBC7F5" w:rsidR="008469AA" w:rsidRDefault="00114391" w:rsidP="00114391">
      <w:pPr>
        <w:ind w:left="426" w:hanging="426"/>
      </w:pPr>
      <w:r>
        <w:rPr>
          <w:b/>
          <w:bCs/>
        </w:rPr>
        <w:t xml:space="preserve">8.     $12/h × 13 = $156.</w:t>
      </w:r>
      <w:r>
        <w:t xml:space="preserve"> </w:t>
      </w:r>
      <w:r>
        <w:rPr>
          <w:i/>
          <w:iCs/>
        </w:rPr>
        <w:t>Likely wrong answer: $21 (adds 8 and 13 instead of finding the unit rate and multiplying). Misconception: confusing scaling with combining. Next move: “what does the worker earn per hour? Multiply by 13.”</w:t>
      </w:r>
    </w:p>
    <w:p w14:paraId="720DC575" w14:textId="15B910C9" w:rsidR="008469AA" w:rsidRDefault="00114391" w:rsidP="00114391">
      <w:pPr>
        <w:ind w:left="426" w:hanging="426"/>
      </w:pPr>
      <w:r>
        <w:rPr>
          <w:b/>
          <w:bCs/>
        </w:rPr>
        <w:lastRenderedPageBreak/>
        <w:t xml:space="preserve">9.    $12.60 ÷ 3 = $4.20/kg; $19.50 ÷ 5 = $3.90/kg, so 5 kg for $19.50.</w:t>
      </w:r>
      <w:r>
        <w:t xml:space="preserve"> </w:t>
      </w:r>
      <w:r>
        <w:rPr>
          <w:i/>
          <w:iCs/>
        </w:rPr>
        <w:t>Likely wrong answer: picks 3 kg for $12.60, reasoning that $12.60 is a lower total price. Misconception: comparing totals instead of unit prices. Next move: “what does one kilogram cost in each package?”</w:t>
      </w:r>
    </w:p>
    <w:p w14:paraId="155D082D" w14:textId="57197682" w:rsidR="008469AA" w:rsidRDefault="00114391" w:rsidP="00114391">
      <w:pPr>
        <w:ind w:left="426" w:hanging="426"/>
      </w:pPr>
      <w:r>
        <w:rPr>
          <w:b/>
          <w:bCs/>
        </w:rPr>
        <w:t xml:space="preserve">10.   No; quotients are 6, 4.5, and 4.</w:t>
      </w:r>
      <w:r>
        <w:t xml:space="preserve"> </w:t>
      </w:r>
      <w:r>
        <w:rPr>
          <w:i/>
          <w:iCs/>
        </w:rPr>
        <w:t>Likely wrong answer: “yes,” because the output increases by a steady amount (3 each time). Misconception: mistaking a constant difference for proportionality. Next move: “compute y ÷ x for each pair — do they match?”</w:t>
      </w:r>
      <w:bookmarkEnd w:id="989"/>
    </w:p>
    <w:p w14:paraId="2D0F64C4" w14:textId="77777777" w:rsidR="008469AA" w:rsidRDefault="00000000">
      <w:pPr>
        <w:pStyle w:val="Heading2"/>
        <w:rPr>
          <w:rFonts w:hint="eastAsia"/>
        </w:rPr>
      </w:pPr>
      <w:bookmarkStart w:id="990" w:name="worksheet-c_Copy_15"/>
      <w:r>
        <w:t>Worksheet C</w:t>
      </w:r>
    </w:p>
    <w:p w14:paraId="42997271" w14:textId="51900415" w:rsidR="008469AA" w:rsidRDefault="00114391" w:rsidP="00114391">
      <w:pPr>
        <w:ind w:left="426" w:hanging="426"/>
      </w:pPr>
      <w:r>
        <w:rPr>
          <w:b/>
          <w:bCs/>
        </w:rPr>
        <w:t xml:space="preserve">1.     Discount $180; sale $720; tax $86.40; final $806.40.</w:t>
      </w:r>
      <w:r>
        <w:t xml:space="preserve"> </w:t>
      </w:r>
      <w:r>
        <w:rPr>
          <w:i/>
          <w:iCs/>
        </w:rPr>
        <w:t>Likely wrong answer: tax calculated on the original $900 instead of the $720 sale price. Misconception: not tracking the base across steps in a multi-step percent problem. Next move: “what amount does the 12% tax apply to?”</w:t>
      </w:r>
    </w:p>
    <w:p w14:paraId="13C83E95" w14:textId="3DC5BB9A" w:rsidR="008469AA" w:rsidRDefault="00114391">
      <w:r>
        <w:rPr>
          <w:b/>
          <w:bCs/>
        </w:rPr>
        <w:t xml:space="preserve">2.     Total parts 12; one part 3; boys 15 and girls 21.</w:t>
      </w:r>
      <w:r>
        <w:t xml:space="preserve"> </w:t>
      </w:r>
      <w:r>
        <w:rPr>
          <w:i/>
          <w:iCs/>
        </w:rPr>
        <w:t xml:space="preserve">Likely wrong answer: treats “5:7” as if boys were </w:t>
      </w:r>
      <m:oMath>
        <m:f>
          <m:fPr>
            <m:ctrlPr>
              <w:rPr>
                <w:rFonts w:ascii="Cambria Math" w:hAnsi="Cambria Math"/>
              </w:rPr>
            </m:ctrlPr>
          </m:fPr>
          <m:num>
            <m:r>
              <w:rPr>
                <w:rFonts w:ascii="Cambria Math" w:hAnsi="Cambria Math"/>
              </w:rPr>
              <m:t>5</m:t>
            </m:r>
          </m:num>
          <m:den>
            <m:r>
              <w:rPr>
                <w:rFonts w:ascii="Cambria Math" w:hAnsi="Cambria Math"/>
              </w:rPr>
              <m:t>7</m:t>
            </m:r>
          </m:den>
        </m:f>
      </m:oMath>
      <w:r>
        <w:rPr>
          <w:i/>
          <w:iCs/>
        </w:rPr>
        <w:t xml:space="preserve"> of the total, without adding the ratio parts first. Misconception: treating a part-to-part ratio as if the second number were already the whole. Next move: “how many total parts does 5:7 make?”</w:t>
      </w:r>
    </w:p>
    <w:p w14:paraId="04159254" w14:textId="23A7D478" w:rsidR="008469AA" w:rsidRDefault="00114391" w:rsidP="00114391">
      <w:pPr>
        <w:ind w:left="426" w:hanging="426"/>
      </w:pPr>
      <w:r>
        <w:t xml:space="preserve">3.     </w:t>
      </w:r>
      <m:oMath>
        <m:f>
          <m:fPr>
            <m:ctrlPr>
              <w:rPr>
                <w:rFonts w:ascii="Cambria Math" w:hAnsi="Cambria Math"/>
              </w:rPr>
            </m:ctrlPr>
          </m:fPr>
          <m:num>
            <m:r>
              <w:rPr>
                <w:rFonts w:ascii="Cambria Math" w:hAnsi="Cambria Math"/>
              </w:rPr>
              <m:t>4</m:t>
            </m:r>
          </m:num>
          <m:den>
            <m:r>
              <w:rPr>
                <w:rFonts w:ascii="Cambria Math" w:hAnsi="Cambria Math"/>
              </w:rPr>
              <m:t>10</m:t>
            </m:r>
          </m:den>
        </m:f>
      </m:oMath>
      <w:r>
        <w:rPr>
          <w:b/>
          <w:bCs/>
        </w:rPr>
        <w:t xml:space="preserve"> cup per muffin × 35 = 14 cups.</w:t>
      </w:r>
      <w:r>
        <w:t xml:space="preserve"> </w:t>
      </w:r>
      <w:r>
        <w:rPr>
          <w:i/>
          <w:iCs/>
        </w:rPr>
        <w:t xml:space="preserve">Likely wrong answer: 8.75 cups (divides 35 by 4 instead of scaling the unit rate correctly). Misconception: setting up the proportion with the terms reversed. Next move: “does 4 cups correspond to 10 muffins, or does 10 correspond to 4?”</w:t>
      </w:r>
    </w:p>
    <w:p w14:paraId="4A9B5CD5" w14:textId="30AED8BD" w:rsidR="008469AA" w:rsidRDefault="00114391" w:rsidP="00114391">
      <w:pPr>
        <w:ind w:left="426" w:hanging="426"/>
      </w:pPr>
      <w:r>
        <w:rPr>
          <w:b/>
          <w:bCs/>
        </w:rPr>
        <w:t xml:space="preserve">4.     750 mL: $0.</w:t>
      </w:r>
      <m:oMath>
        <m:f>
          <m:fPr>
            <m:ctrlPr>
              <w:rPr>
                <w:rFonts w:ascii="Cambria Math" w:hAnsi="Cambria Math"/>
              </w:rPr>
            </m:ctrlPr>
          </m:fPr>
          <m:num>
            <m:r>
              <w:rPr>
                <w:rFonts w:ascii="Cambria Math" w:hAnsi="Cambria Math"/>
              </w:rPr>
              <m:t>38</m:t>
            </m:r>
          </m:num>
          <m:den>
            <m:r>
              <w:rPr>
                <w:rFonts w:ascii="Cambria Math" w:hAnsi="Cambria Math"/>
              </w:rPr>
              <m:t>100</m:t>
            </m:r>
          </m:den>
        </m:f>
      </m:oMath>
      <w:r>
        <w:rPr>
          <w:b/>
          <w:bCs/>
        </w:rPr>
        <w:t xml:space="preserve"> mL; 1.5 L: $0.</w:t>
      </w:r>
      <m:oMath>
        <m:f>
          <m:fPr>
            <m:ctrlPr>
              <w:rPr>
                <w:rFonts w:ascii="Cambria Math" w:hAnsi="Cambria Math"/>
              </w:rPr>
            </m:ctrlPr>
          </m:fPr>
          <m:num>
            <m:r>
              <w:rPr>
                <w:rFonts w:ascii="Cambria Math" w:hAnsi="Cambria Math"/>
              </w:rPr>
              <m:t>36</m:t>
            </m:r>
          </m:num>
          <m:den>
            <m:r>
              <w:rPr>
                <w:rFonts w:ascii="Cambria Math" w:hAnsi="Cambria Math"/>
              </w:rPr>
              <m:t>100</m:t>
            </m:r>
          </m:den>
        </m:f>
      </m:oMath>
      <w:r>
        <w:rPr>
          <w:b/>
          <w:bCs/>
        </w:rPr>
        <w:t xml:space="preserve"> mL, so 1.5 L.</w:t>
      </w:r>
      <w:r>
        <w:t xml:space="preserve"> </w:t>
      </w:r>
      <w:r>
        <w:rPr>
          <w:i/>
          <w:iCs/>
        </w:rPr>
        <w:t>Likely wrong answer: compares $2.85 and $5.40 directly without converting to a common volume unit. Misconception: comparing incompatible units. Next move: “are both prices measured over the same volume?”</w:t>
      </w:r>
    </w:p>
    <w:p w14:paraId="454539AF" w14:textId="2F895DBF" w:rsidR="008469AA" w:rsidRDefault="00114391" w:rsidP="00114391">
      <w:pPr>
        <w:ind w:left="426" w:hanging="426"/>
      </w:pPr>
      <w:r>
        <w:rPr>
          <w:b/>
          <w:bCs/>
        </w:rPr>
        <w:t xml:space="preserve">5.     70 km/h × 9 = 630 km.</w:t>
      </w:r>
      <w:r>
        <w:t xml:space="preserve"> </w:t>
      </w:r>
      <w:r>
        <w:rPr>
          <w:i/>
          <w:iCs/>
        </w:rPr>
        <w:t>Likely wrong answer: 429 km (adds 420 and 9 instead of finding the unit rate and multiplying). Misconception: confusing scaling with combining. Next move: “what is the speed? Multiply by 9 hours.”</w:t>
      </w:r>
    </w:p>
    <w:p w14:paraId="0BC2D468" w14:textId="6D136045" w:rsidR="008469AA" w:rsidRDefault="00114391" w:rsidP="00114391">
      <w:pPr>
        <w:ind w:left="426" w:hanging="426"/>
      </w:pPr>
      <w:r>
        <w:rPr>
          <w:b/>
          <w:bCs/>
        </w:rPr>
        <w:t xml:space="preserve">6.     Grade 7 = 168; not Grade 7 = 312.</w:t>
      </w:r>
      <w:r>
        <w:t xml:space="preserve"> </w:t>
      </w:r>
      <w:r>
        <w:rPr>
          <w:i/>
          <w:iCs/>
        </w:rPr>
        <w:t>Likely wrong answer: reports 168 as “not Grade 7” instead of Grade 7 itself, reversing which group the percent describes. Misconception: not tracking which part the percent applies to. Next move: “does 35% describe Grade 7, or the rest of the school?”</w:t>
      </w:r>
    </w:p>
    <w:p w14:paraId="4C5B477D" w14:textId="67400743" w:rsidR="008469AA" w:rsidRDefault="00114391" w:rsidP="00114391">
      <w:pPr>
        <w:ind w:left="426" w:hanging="426"/>
      </w:pPr>
      <w:r>
        <w:rPr>
          <w:b/>
          <w:bCs/>
        </w:rPr>
        <w:t xml:space="preserve">7.     800 × 1.15 = 920; 920 × 0.90 = 828.</w:t>
      </w:r>
      <w:r>
        <w:t xml:space="preserve"> </w:t>
      </w:r>
      <w:r>
        <w:rPr>
          <w:i/>
          <w:iCs/>
        </w:rPr>
        <w:t xml:space="preserve">Likely wrong answer: 800 × 1.05 = 840 (adds the percentages, 15% − 10% = 5%, instead of applying them successively). Misconception: treating successive percent changes as </w:t>
        <w:lastRenderedPageBreak/>
        <w:t>additive rather than multiplicative. Next move: “does the 10% decrease act on 800, or on the already-increased amount?”</w:t>
      </w:r>
    </w:p>
    <w:p w14:paraId="64D2589B" w14:textId="67D88F52" w:rsidR="008469AA" w:rsidRDefault="00114391" w:rsidP="00114391">
      <w:pPr>
        <w:ind w:left="426" w:hanging="426"/>
      </w:pPr>
      <w:r>
        <w:rPr>
          <w:b/>
          <w:bCs/>
        </w:rPr>
        <w:t xml:space="preserve">8.     8.4 × 15 = 126 km.</w:t>
      </w:r>
      <w:r>
        <w:t xml:space="preserve"> </w:t>
      </w:r>
      <w:r>
        <w:rPr>
          <w:i/>
          <w:iCs/>
        </w:rPr>
        <w:t xml:space="preserve">Likely wrong answer: 1.79 km (divides instead of multiplying for a map-to-real conversion). Misconception: reversing the scale direction. Next move: “does one centimetre represent a bigger or smaller real distance?”</w:t>
      </w:r>
    </w:p>
    <w:p w14:paraId="749E161C" w14:textId="3D990999" w:rsidR="008469AA" w:rsidRDefault="00114391" w:rsidP="00114391">
      <w:pPr>
        <w:ind w:left="426" w:hanging="426"/>
      </w:pPr>
      <w:r>
        <w:rPr>
          <w:b/>
          <w:bCs/>
        </w:rPr>
        <w:t xml:space="preserve">9.     Scale factor 42 ÷ 14 = 3; height = 21 × 3 = 63 cm.</w:t>
      </w:r>
      <w:r>
        <w:t xml:space="preserve"> </w:t>
      </w:r>
      <w:r>
        <w:rPr>
          <w:rStyle w:val="Emphasis"/>
        </w:rPr>
        <w:t>Likely wrong answer: 35 (adds 14 and 21 instead of applying the scale factor). Misconception: confusing scaling with combining. Next move: "what factor changed the width from 14 to 42? Apply that same factor to the height</w:t>
      </w:r>
      <w:r>
        <w:rPr>
          <w:i/>
          <w:iCs/>
        </w:rPr>
        <w:t>.”</w:t>
      </w:r>
    </w:p>
    <w:p w14:paraId="6FC32E46" w14:textId="79DC1E53" w:rsidR="008469AA" w:rsidRDefault="00114391" w:rsidP="00114391">
      <w:pPr>
        <w:ind w:left="426" w:hanging="426"/>
      </w:pPr>
      <w:r>
        <w:rPr>
          <w:b/>
          <w:bCs/>
        </w:rPr>
        <w:t xml:space="preserve">10.   Table: 0: $6, 1: $7.50, 2: $9, 3: $10.50;</w:t>
      </w:r>
      <w:r>
        <w:t xml:space="preserve"> not proportional because output is $6 at zero. </w:t>
      </w:r>
      <w:r>
        <w:rPr>
          <w:rStyle w:val="Emphasis"/>
        </w:rPr>
        <w:t xml:space="preserve">Likely wrong answer: says "yes, proportional" because the table increases by a steady $1.50 each row. Misconception: mistaking a constant difference for proportionality. Next move: "what is the cost at zero kilometres? Should it be $0 for a direct proportion?</w:t>
      </w:r>
      <w:r>
        <w:rPr>
          <w:i/>
          <w:iCs/>
        </w:rPr>
        <w:t>”</w:t>
      </w:r>
    </w:p>
    <w:p w14:paraId="2DD3283F" w14:textId="2644375D" w:rsidR="008469AA" w:rsidRDefault="00114391" w:rsidP="00114391">
      <w:pPr>
        <w:ind w:left="426" w:hanging="426"/>
      </w:pPr>
      <w:r>
        <w:rPr>
          <w:b/>
          <w:bCs/>
        </w:rPr>
        <w:t xml:space="preserve">11.   $121.50. The manager’s weekly hours (40) and number of staff supervised (8) were not needed to find the final price.</w:t>
      </w:r>
      <w:r>
        <w:t xml:space="preserve"> </w:t>
      </w:r>
      <w:r>
        <w:rPr>
          <w:i/>
          <w:iCs/>
        </w:rPr>
        <w:t xml:space="preserve">Likely wrong answer: works the 40 hours or 8 staff into the calculation somehow. Misconception: assuming every number in a word problem must be used. Next move: “what does the question actually ask for? Which numbers answer that?”</w:t>
      </w:r>
    </w:p>
    <w:p w14:paraId="18BBB342" w14:textId="5F557DF6" w:rsidR="008469AA" w:rsidRDefault="00114391" w:rsidP="00114391">
      <w:pPr>
        <w:ind w:left="426" w:hanging="426"/>
      </w:pPr>
      <w:r>
        <w:rPr>
          <w:b/>
          <w:bCs/>
        </w:rPr>
        <w:t xml:space="preserve">12.   Answers vary; must describe a situation where 240 is a whole amount, 0.30 (30%) is the percent, and 72 is the resulting part, with each meaning stated.</w:t>
      </w:r>
      <w:r>
        <w:t xml:space="preserve"> </w:t>
      </w:r>
      <w:r>
        <w:rPr>
          <w:i/>
          <w:iCs/>
        </w:rPr>
        <w:t>Common flaw: gives a context but doesn’t identify all three roles, or confuses the part with the whole. Next move: ask the student to finish three sentences — “240 is ___,” “30% means ___,” “72 is ___.”</w:t>
      </w:r>
      <w:bookmarkEnd w:id="990"/>
    </w:p>
    <w:p w14:paraId="73D8B18E" w14:textId="77777777" w:rsidR="008469AA" w:rsidRDefault="00000000">
      <w:pPr>
        <w:pStyle w:val="Heading2"/>
        <w:rPr>
          <w:rFonts w:hint="eastAsia"/>
        </w:rPr>
      </w:pPr>
      <w:r>
        <w:t>Classification and Justification Practice</w:t>
      </w:r>
    </w:p>
    <w:p w14:paraId="19BBCBA6" w14:textId="603FBF19" w:rsidR="00114391" w:rsidRDefault="00114391" w:rsidP="00114391">
      <w:pPr>
        <w:ind w:left="284" w:hanging="284"/>
      </w:pPr>
      <w:bookmarkStart w:id="991" w:name="X13f7c2f0a66df1b5d77e06f5e0fac42990b40a1"/>
      <w:r>
        <w:t xml:space="preserve">1. Part-to-whole percent; part–percent–whole bar. </w:t>
      </w:r>
    </w:p>
    <w:p w14:paraId="76C95B62" w14:textId="77777777" w:rsidR="00114391" w:rsidRDefault="00000000" w:rsidP="00114391">
      <w:pPr>
        <w:ind w:left="284" w:hanging="284"/>
      </w:pPr>
      <w:r>
        <w:t xml:space="preserve">2. Scale; direction strip.  </w:t>
      </w:r>
    </w:p>
    <w:p w14:paraId="613F5939" w14:textId="77777777" w:rsidR="00114391" w:rsidRDefault="00000000" w:rsidP="00114391">
      <w:pPr>
        <w:ind w:left="284" w:hanging="284"/>
      </w:pPr>
      <w:r>
        <w:t xml:space="preserve">3. Unit rate; rate table. </w:t>
      </w:r>
    </w:p>
    <w:p w14:paraId="2698515E" w14:textId="77777777" w:rsidR="00114391" w:rsidRDefault="00000000" w:rsidP="00114391">
      <w:pPr>
        <w:ind w:left="284" w:hanging="284"/>
      </w:pPr>
      <w:r>
        <w:t xml:space="preserve">4. Proportional relationship; table–graph–equation map. </w:t>
      </w:r>
    </w:p>
    <w:p w14:paraId="215364AF" w14:textId="77777777" w:rsidR="00114391" w:rsidRDefault="00000000" w:rsidP="00114391">
      <w:pPr>
        <w:ind w:left="284" w:hanging="284"/>
      </w:pPr>
      <w:r>
        <w:t xml:space="preserve">5. Best buy; common-unit table. </w:t>
      </w:r>
    </w:p>
    <w:p w14:paraId="179736EC" w14:textId="77777777" w:rsidR="00114391" w:rsidRDefault="00000000" w:rsidP="00114391">
      <w:pPr>
        <w:ind w:left="284" w:hanging="284"/>
      </w:pPr>
      <w:r>
        <w:t xml:space="preserve">6. Ratio with total; tape diagram. </w:t>
      </w:r>
    </w:p>
    <w:p w14:paraId="124F0948" w14:textId="77777777" w:rsidR="00114391" w:rsidRDefault="00000000" w:rsidP="00114391">
      <w:pPr>
        <w:ind w:left="284" w:hanging="284"/>
      </w:pPr>
      <w:r>
        <w:t xml:space="preserve">7. Multi-step percent; original–change–final model. </w:t>
      </w:r>
    </w:p>
    <w:p w14:paraId="5B2098D5" w14:textId="1F22BA3A" w:rsidR="008469AA" w:rsidRDefault="00000000" w:rsidP="00114391">
      <w:pPr>
        <w:ind w:left="284" w:hanging="284"/>
      </w:pPr>
      <w:r>
        <w:t>8. Non-proportional starting amount; zero-origin test.</w:t>
      </w:r>
      <w:bookmarkEnd w:id="991"/>
    </w:p>
    <w:p w14:paraId="0C941426" w14:textId="77777777" w:rsidR="008469AA" w:rsidRDefault="00000000">
      <w:pPr>
        <w:pStyle w:val="Heading2"/>
        <w:rPr>
          <w:rFonts w:hint="eastAsia"/>
        </w:rPr>
      </w:pPr>
      <w:r>
        <w:t>Tripwire and Exit Ticket</w:t>
      </w:r>
    </w:p>
    <w:p w14:paraId="0ED0C51E" w14:textId="77777777" w:rsidR="00114391" w:rsidRDefault="00000000">
      <w:bookmarkStart w:id="992" w:name="answer-key_Copy_14_1689"/>
      <w:bookmarkStart w:id="993" w:name="tripwire-and-exit-ticket_Copy_11_1690"/>
      <w:r>
        <w:rPr>
          <w:b/>
          <w:bCs/>
        </w:rPr>
        <w:t>Tripwire:</w:t>
      </w:r>
      <w:r>
        <w:t xml:space="preserve"> Problem 1 is multi-step percent and gives $81.36; Problem 2 is </w:t>
        <w:lastRenderedPageBreak/>
        <w:t xml:space="preserve">ratio with total and gives 12 boys; Problem 3 is scale and gives 67.5 km; Problem 4 is non-proportional because the output is $4.50 at zero input. </w:t>
      </w:r>
    </w:p>
    <w:p w14:paraId="27D5B772" w14:textId="08931D1E" w:rsidR="008469AA" w:rsidRDefault="00000000">
      <w:r>
        <w:rPr>
          <w:b/>
          <w:bCs/>
        </w:rPr>
        <w:t>Exit Ticket:</w:t>
      </w:r>
      <w:r>
        <w:t xml:space="preserve"> 27 and percent model; total parts 7, one part 7, boys 14 and ratio-with-total model; 63 km/h and 504 km; 78 km; yes, y = 4.5x; starting fee means the output is nonzero at zero input; name quantities, classify, choose an anchor model, calculate, attach units, and check.</w:t>
      </w:r>
      <w:bookmarkEnd w:id="992"/>
      <w:bookmarkEnd w:id="993"/>
    </w:p>
    <w:p w14:paraId="4CEB4863" w14:textId="77777777" w:rsidR="008469AA" w:rsidRDefault="008469AA">
      <w:pPr>
        <w:sectPr w:rsidR="008469AA">
          <w:headerReference w:type="default" r:id="rId191"/>
          <w:footerReference w:type="default" r:id="rId192"/>
          <w:headerReference w:type="first" r:id="rId193"/>
          <w:footerReference w:type="first" r:id="rId194"/>
          <w:pgSz w:w="12240" w:h="15840"/>
          <w:pgMar w:top="864" w:right="864" w:bottom="864" w:left="864" w:header="576" w:footer="576" w:gutter="0"/>
          <w:cols w:num="2" w:space="360"/>
          <w:formProt w:val="0"/>
          <w:docGrid w:linePitch="360"/>
        </w:sectPr>
      </w:pPr>
    </w:p>
    <w:sectPr w:rsidR="008469AA">
      <w:headerReference w:type="default" r:id="rId183"/>
      <w:footerReference w:type="default" r:id="rId184"/>
      <w:headerReference w:type="first" r:id="rId185"/>
      <w:footerReference w:type="first" r:id="rId186"/>
      <w:type w:val="continuous"/>
      <w:pgSz w:w="12240" w:h="15840"/>
      <w:pgMar w:top="864" w:right="864" w:bottom="864" w:left="864" w:header="576" w:footer="576" w:gutter="0"/>
      <w:cols w:num="2" w:space="36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64.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5.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6.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7.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8.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9.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64.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5.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6.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7.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8.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9.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91" Type="http://schemas.openxmlformats.org/officeDocument/2006/relationships/header" Target="header68.xml"/><Relationship Id="rId5" Type="http://schemas.openxmlformats.org/officeDocument/2006/relationships/footnotes" Target="footnotes.xml"/><Relationship Id="rId192" Type="http://schemas.openxmlformats.org/officeDocument/2006/relationships/footer" Target="footer68.xml"/><Relationship Id="rId6" Type="http://schemas.openxmlformats.org/officeDocument/2006/relationships/endnotes" Target="endnotes.xml"/><Relationship Id="rId193" Type="http://schemas.openxmlformats.org/officeDocument/2006/relationships/header" Target="header69.xml"/><Relationship Id="rId207" Type="http://schemas.openxmlformats.org/officeDocument/2006/relationships/fontTable" Target="fontTable.xml"/><Relationship Id="rId183" Type="http://schemas.openxmlformats.org/officeDocument/2006/relationships/header" Target="header64.xml"/><Relationship Id="rId194" Type="http://schemas.openxmlformats.org/officeDocument/2006/relationships/footer" Target="footer69.xml"/><Relationship Id="rId208" Type="http://schemas.openxmlformats.org/officeDocument/2006/relationships/theme" Target="theme/theme1.xml"/><Relationship Id="rId184" Type="http://schemas.openxmlformats.org/officeDocument/2006/relationships/footer" Target="footer64.xml"/><Relationship Id="rId189" Type="http://schemas.openxmlformats.org/officeDocument/2006/relationships/header" Target="header67.xml"/><Relationship Id="rId3" Type="http://schemas.openxmlformats.org/officeDocument/2006/relationships/settings" Target="settings.xml"/><Relationship Id="rId190" Type="http://schemas.openxmlformats.org/officeDocument/2006/relationships/footer" Target="footer67.xml"/><Relationship Id="rId185" Type="http://schemas.openxmlformats.org/officeDocument/2006/relationships/header" Target="header65.xml"/><Relationship Id="rId4" Type="http://schemas.openxmlformats.org/officeDocument/2006/relationships/webSettings" Target="webSettings.xml"/><Relationship Id="rId186" Type="http://schemas.openxmlformats.org/officeDocument/2006/relationships/footer" Target="footer65.xml"/><Relationship Id="rId187" Type="http://schemas.openxmlformats.org/officeDocument/2006/relationships/header" Target="header66.xml"/><Relationship Id="rId1" Type="http://schemas.openxmlformats.org/officeDocument/2006/relationships/numbering" Target="numbering.xml"/><Relationship Id="rId188" Type="http://schemas.openxmlformats.org/officeDocument/2006/relationships/footer" Target="footer66.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16: Mixed Proportional Problem Solving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